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25E64" w:rsidRDefault="00DC67A3" w:rsidP="00BD3568">
      <w:pPr>
        <w:pStyle w:val="ListParagraph"/>
        <w:widowControl/>
        <w:spacing w:before="120" w:line="288" w:lineRule="auto"/>
        <w:ind w:left="0" w:firstLine="0"/>
        <w:rPr>
          <w:b/>
          <w:bCs/>
          <w:color w:val="002B5C"/>
          <w:sz w:val="40"/>
          <w:szCs w:val="40"/>
          <w:u w:color="0075B9"/>
        </w:rPr>
      </w:pPr>
      <w:r>
        <w:rPr>
          <w:b/>
          <w:bCs/>
          <w:noProof/>
          <w:color w:val="002B5C"/>
          <w:sz w:val="40"/>
          <w:szCs w:val="40"/>
          <w:u w:color="0075B9"/>
        </w:rPr>
        <w:drawing>
          <wp:inline distT="0" distB="0" distL="0" distR="0" wp14:anchorId="5DD7899D" wp14:editId="07777777">
            <wp:extent cx="2494456" cy="790955"/>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1"/>
                    <a:stretch>
                      <a:fillRect/>
                    </a:stretch>
                  </pic:blipFill>
                  <pic:spPr>
                    <a:xfrm>
                      <a:off x="0" y="0"/>
                      <a:ext cx="2494456" cy="790955"/>
                    </a:xfrm>
                    <a:prstGeom prst="rect">
                      <a:avLst/>
                    </a:prstGeom>
                    <a:ln w="12700" cap="flat">
                      <a:noFill/>
                      <a:miter lim="400000"/>
                    </a:ln>
                    <a:effectLst/>
                  </pic:spPr>
                </pic:pic>
              </a:graphicData>
            </a:graphic>
          </wp:inline>
        </w:drawing>
      </w:r>
    </w:p>
    <w:p w14:paraId="0A37501D" w14:textId="77777777" w:rsidR="00225E64" w:rsidRDefault="00225E64" w:rsidP="00BD3568">
      <w:pPr>
        <w:pStyle w:val="ListParagraph"/>
        <w:widowControl/>
        <w:spacing w:before="120" w:line="288" w:lineRule="auto"/>
        <w:ind w:left="0" w:firstLine="0"/>
        <w:rPr>
          <w:b/>
          <w:bCs/>
          <w:color w:val="002B5C"/>
          <w:sz w:val="40"/>
          <w:szCs w:val="40"/>
          <w:u w:color="0075B9"/>
        </w:rPr>
      </w:pPr>
    </w:p>
    <w:p w14:paraId="169E3C3A" w14:textId="6F647F55" w:rsidR="00225E64" w:rsidRPr="009826C9" w:rsidRDefault="00AF6637" w:rsidP="21E44E53">
      <w:pPr>
        <w:pStyle w:val="ListParagraph"/>
        <w:widowControl/>
        <w:spacing w:before="120" w:line="288" w:lineRule="auto"/>
        <w:ind w:left="0" w:firstLine="0"/>
        <w:rPr>
          <w:color w:val="005493"/>
          <w:sz w:val="32"/>
          <w:szCs w:val="32"/>
        </w:rPr>
      </w:pPr>
      <w:r w:rsidRPr="009826C9">
        <w:rPr>
          <w:color w:val="005493"/>
          <w:sz w:val="32"/>
          <w:szCs w:val="32"/>
        </w:rPr>
        <w:t>GP</w:t>
      </w:r>
      <w:r w:rsidR="00DC67A3" w:rsidRPr="009826C9">
        <w:rPr>
          <w:color w:val="005493"/>
          <w:sz w:val="32"/>
          <w:szCs w:val="32"/>
        </w:rPr>
        <w:t xml:space="preserve"> Online</w:t>
      </w:r>
      <w:r w:rsidRPr="009826C9">
        <w:rPr>
          <w:color w:val="005493"/>
          <w:sz w:val="32"/>
          <w:szCs w:val="32"/>
        </w:rPr>
        <w:t xml:space="preserve"> Services</w:t>
      </w:r>
      <w:r w:rsidR="00DC67A3" w:rsidRPr="009826C9">
        <w:rPr>
          <w:color w:val="005493"/>
          <w:sz w:val="32"/>
          <w:szCs w:val="32"/>
        </w:rPr>
        <w:t xml:space="preserve"> </w:t>
      </w:r>
      <w:r w:rsidR="009826C9" w:rsidRPr="009826C9">
        <w:rPr>
          <w:color w:val="005493"/>
          <w:sz w:val="32"/>
          <w:szCs w:val="32"/>
        </w:rPr>
        <w:t>G</w:t>
      </w:r>
      <w:r w:rsidR="00DC67A3" w:rsidRPr="009826C9">
        <w:rPr>
          <w:color w:val="005493"/>
          <w:sz w:val="32"/>
          <w:szCs w:val="32"/>
        </w:rPr>
        <w:t>uidance</w:t>
      </w:r>
    </w:p>
    <w:p w14:paraId="4B8F7057" w14:textId="77777777" w:rsidR="00225E64" w:rsidRPr="009A3C10" w:rsidRDefault="00DC67A3" w:rsidP="0EC5D03A">
      <w:pPr>
        <w:pStyle w:val="ListParagraph"/>
        <w:widowControl/>
        <w:spacing w:before="120" w:line="288" w:lineRule="auto"/>
        <w:ind w:left="0" w:firstLine="0"/>
        <w:rPr>
          <w:i/>
          <w:iCs/>
          <w:color w:val="005493"/>
          <w:sz w:val="44"/>
          <w:szCs w:val="44"/>
        </w:rPr>
      </w:pPr>
      <w:r w:rsidRPr="009A3C10">
        <w:rPr>
          <w:i/>
          <w:iCs/>
          <w:color w:val="005493"/>
          <w:sz w:val="44"/>
          <w:szCs w:val="44"/>
        </w:rPr>
        <w:t>Proxy Access</w:t>
      </w:r>
    </w:p>
    <w:p w14:paraId="492A746B" w14:textId="476D13DF" w:rsidR="00225E64" w:rsidRDefault="00225E64" w:rsidP="00BD3568">
      <w:pPr>
        <w:spacing w:before="120" w:line="288" w:lineRule="auto"/>
        <w:rPr>
          <w:rFonts w:ascii="Arial" w:eastAsia="Arial" w:hAnsi="Arial" w:cs="Arial"/>
          <w:color w:val="005493"/>
          <w:sz w:val="22"/>
          <w:szCs w:val="22"/>
          <w:u w:color="000000"/>
          <w14:textOutline w14:w="0" w14:cap="flat" w14:cmpd="sng" w14:algn="ctr">
            <w14:noFill/>
            <w14:prstDash w14:val="solid"/>
            <w14:bevel/>
          </w14:textOutline>
        </w:rPr>
      </w:pPr>
    </w:p>
    <w:p w14:paraId="5DAB6C7B" w14:textId="77777777" w:rsidR="00225E64" w:rsidRDefault="00225E64" w:rsidP="00BD3568">
      <w:pPr>
        <w:spacing w:before="120" w:line="288" w:lineRule="auto"/>
        <w:rPr>
          <w:rFonts w:ascii="Arial" w:eastAsia="Arial" w:hAnsi="Arial" w:cs="Arial"/>
          <w:color w:val="005493"/>
          <w:sz w:val="22"/>
          <w:szCs w:val="22"/>
          <w:u w:color="000000"/>
          <w14:textOutline w14:w="0" w14:cap="flat" w14:cmpd="sng" w14:algn="ctr">
            <w14:noFill/>
            <w14:prstDash w14:val="solid"/>
            <w14:bevel/>
          </w14:textOutline>
        </w:rPr>
      </w:pPr>
    </w:p>
    <w:p w14:paraId="406425CA" w14:textId="77777777" w:rsidR="00225E64" w:rsidRPr="00BD3568" w:rsidRDefault="00DC67A3" w:rsidP="00BD3568">
      <w:pPr>
        <w:spacing w:before="120" w:line="288" w:lineRule="auto"/>
        <w:rPr>
          <w:rFonts w:ascii="Lato" w:eastAsia="Arial" w:hAnsi="Lato" w:cs="Arial"/>
          <w:color w:val="000000" w:themeColor="text1"/>
          <w:sz w:val="32"/>
          <w:szCs w:val="32"/>
          <w:u w:color="000000"/>
          <w14:textOutline w14:w="0" w14:cap="flat" w14:cmpd="sng" w14:algn="ctr">
            <w14:noFill/>
            <w14:prstDash w14:val="solid"/>
            <w14:bevel/>
          </w14:textOutline>
        </w:rPr>
      </w:pPr>
      <w:r w:rsidRPr="00BD3568">
        <w:rPr>
          <w:rFonts w:ascii="Lato" w:hAnsi="Lato" w:cs="Arial Unicode MS"/>
          <w:color w:val="000000" w:themeColor="text1"/>
          <w:sz w:val="32"/>
          <w:szCs w:val="32"/>
          <w:u w:color="000000"/>
          <w14:textOutline w14:w="0" w14:cap="flat" w14:cmpd="sng" w14:algn="ctr">
            <w14:noFill/>
            <w14:prstDash w14:val="solid"/>
            <w14:bevel/>
          </w14:textOutline>
        </w:rPr>
        <w:t>Contents</w:t>
      </w:r>
    </w:p>
    <w:p w14:paraId="22936387" w14:textId="3769C427" w:rsidR="00225E64" w:rsidRPr="00343AC5" w:rsidRDefault="00DC67A3" w:rsidP="00BD3568">
      <w:pPr>
        <w:pStyle w:val="ListParagraph"/>
        <w:numPr>
          <w:ilvl w:val="0"/>
          <w:numId w:val="10"/>
        </w:numPr>
        <w:spacing w:before="120" w:line="288" w:lineRule="auto"/>
        <w:ind w:left="426"/>
      </w:pPr>
      <w:r w:rsidRPr="00343AC5">
        <w:rPr>
          <w:rFonts w:cs="Arial Unicode MS"/>
        </w:rPr>
        <w:t>Introduction</w:t>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00343AC5">
        <w:rPr>
          <w:rFonts w:cs="Arial Unicode MS"/>
        </w:rPr>
        <w:t>1</w:t>
      </w:r>
    </w:p>
    <w:p w14:paraId="60101267" w14:textId="7E8A7A5E" w:rsidR="00225E64" w:rsidRPr="00343AC5" w:rsidRDefault="00DC67A3" w:rsidP="00BD3568">
      <w:pPr>
        <w:pStyle w:val="ListParagraph"/>
        <w:numPr>
          <w:ilvl w:val="0"/>
          <w:numId w:val="10"/>
        </w:numPr>
        <w:spacing w:before="120" w:line="288" w:lineRule="auto"/>
        <w:ind w:left="426"/>
      </w:pPr>
      <w:r w:rsidRPr="00343AC5">
        <w:rPr>
          <w:rFonts w:cs="Arial Unicode MS"/>
        </w:rPr>
        <w:t>Informal proxy access</w:t>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00BD3568">
        <w:rPr>
          <w:rFonts w:cs="Arial Unicode MS"/>
        </w:rPr>
        <w:tab/>
      </w:r>
      <w:r w:rsidRPr="00343AC5">
        <w:rPr>
          <w:rFonts w:cs="Arial Unicode MS"/>
        </w:rPr>
        <w:tab/>
      </w:r>
      <w:r w:rsidRPr="00343AC5">
        <w:rPr>
          <w:rFonts w:cs="Arial Unicode MS"/>
        </w:rPr>
        <w:tab/>
        <w:t>2</w:t>
      </w:r>
    </w:p>
    <w:p w14:paraId="116AF17B" w14:textId="0CCC0352" w:rsidR="00225E64" w:rsidRPr="00343AC5" w:rsidRDefault="00DC67A3" w:rsidP="00BD3568">
      <w:pPr>
        <w:pStyle w:val="ListParagraph"/>
        <w:numPr>
          <w:ilvl w:val="0"/>
          <w:numId w:val="10"/>
        </w:numPr>
        <w:spacing w:before="120" w:line="288" w:lineRule="auto"/>
        <w:ind w:left="426"/>
      </w:pPr>
      <w:r w:rsidRPr="21E44E53">
        <w:rPr>
          <w:rFonts w:cs="Arial Unicode MS"/>
        </w:rPr>
        <w:t>Signing-up a proxy for GP Online Services</w:t>
      </w:r>
      <w:r>
        <w:tab/>
      </w:r>
      <w:r>
        <w:tab/>
      </w:r>
      <w:r>
        <w:tab/>
      </w:r>
      <w:r>
        <w:tab/>
      </w:r>
      <w:r>
        <w:tab/>
      </w:r>
      <w:r>
        <w:tab/>
      </w:r>
      <w:r w:rsidR="003C1A1D" w:rsidRPr="21E44E53">
        <w:rPr>
          <w:rFonts w:cs="Arial Unicode MS"/>
        </w:rPr>
        <w:t>3</w:t>
      </w:r>
    </w:p>
    <w:p w14:paraId="0EC03DA7" w14:textId="4E408CBA" w:rsidR="00225E64" w:rsidRPr="00343AC5" w:rsidRDefault="00DC67A3" w:rsidP="00BD3568">
      <w:pPr>
        <w:pStyle w:val="ListParagraph"/>
        <w:numPr>
          <w:ilvl w:val="0"/>
          <w:numId w:val="10"/>
        </w:numPr>
        <w:spacing w:before="120" w:line="288" w:lineRule="auto"/>
        <w:ind w:left="426"/>
      </w:pPr>
      <w:r w:rsidRPr="00343AC5">
        <w:rPr>
          <w:rFonts w:cs="Arial Unicode MS"/>
        </w:rPr>
        <w:t>The risk of coercion and proxy access</w:t>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00BD3568">
        <w:rPr>
          <w:rFonts w:cs="Arial Unicode MS"/>
        </w:rPr>
        <w:tab/>
        <w:t>3</w:t>
      </w:r>
    </w:p>
    <w:p w14:paraId="7AC816F3" w14:textId="467CC085" w:rsidR="00225E64" w:rsidRPr="00343AC5" w:rsidRDefault="0060609E" w:rsidP="00BD3568">
      <w:pPr>
        <w:pStyle w:val="ListParagraph"/>
        <w:numPr>
          <w:ilvl w:val="0"/>
          <w:numId w:val="10"/>
        </w:numPr>
        <w:spacing w:before="120" w:line="288" w:lineRule="auto"/>
        <w:ind w:left="426"/>
      </w:pPr>
      <w:r>
        <w:rPr>
          <w:rFonts w:cs="Arial Unicode MS"/>
        </w:rPr>
        <w:t>Declining</w:t>
      </w:r>
      <w:r w:rsidR="00DC67A3" w:rsidRPr="00343AC5">
        <w:rPr>
          <w:rFonts w:cs="Arial Unicode MS"/>
        </w:rPr>
        <w:t xml:space="preserve"> proxy access</w:t>
      </w:r>
      <w:r w:rsidR="00DC67A3" w:rsidRPr="00343AC5">
        <w:rPr>
          <w:rFonts w:cs="Arial Unicode MS"/>
        </w:rPr>
        <w:tab/>
      </w:r>
      <w:r w:rsidR="00DC67A3" w:rsidRPr="00343AC5">
        <w:rPr>
          <w:rFonts w:cs="Arial Unicode MS"/>
        </w:rPr>
        <w:tab/>
      </w:r>
      <w:r w:rsidR="00DC67A3" w:rsidRPr="00343AC5">
        <w:rPr>
          <w:rFonts w:cs="Arial Unicode MS"/>
        </w:rPr>
        <w:tab/>
      </w:r>
      <w:r w:rsidR="00DC67A3" w:rsidRPr="00343AC5">
        <w:rPr>
          <w:rFonts w:cs="Arial Unicode MS"/>
        </w:rPr>
        <w:tab/>
      </w:r>
      <w:r w:rsidR="00DC67A3" w:rsidRPr="00343AC5">
        <w:rPr>
          <w:rFonts w:cs="Arial Unicode MS"/>
        </w:rPr>
        <w:tab/>
      </w:r>
      <w:r w:rsidR="00DC67A3" w:rsidRPr="00343AC5">
        <w:rPr>
          <w:rFonts w:cs="Arial Unicode MS"/>
        </w:rPr>
        <w:tab/>
      </w:r>
      <w:r w:rsidR="00BD3568">
        <w:rPr>
          <w:rFonts w:cs="Arial Unicode MS"/>
        </w:rPr>
        <w:tab/>
      </w:r>
      <w:r w:rsidR="00DC67A3" w:rsidRPr="00343AC5">
        <w:rPr>
          <w:rFonts w:cs="Arial Unicode MS"/>
        </w:rPr>
        <w:tab/>
      </w:r>
      <w:r w:rsidR="00DC67A3" w:rsidRPr="00343AC5">
        <w:rPr>
          <w:rFonts w:cs="Arial Unicode MS"/>
        </w:rPr>
        <w:tab/>
      </w:r>
      <w:r w:rsidR="003C1A1D">
        <w:rPr>
          <w:rFonts w:cs="Arial Unicode MS"/>
        </w:rPr>
        <w:t>4</w:t>
      </w:r>
    </w:p>
    <w:p w14:paraId="2E1B28FB" w14:textId="17047768" w:rsidR="00225E64" w:rsidRPr="00343AC5" w:rsidRDefault="00DC67A3" w:rsidP="00BD3568">
      <w:pPr>
        <w:pStyle w:val="ListParagraph"/>
        <w:numPr>
          <w:ilvl w:val="0"/>
          <w:numId w:val="10"/>
        </w:numPr>
        <w:spacing w:before="120" w:line="288" w:lineRule="auto"/>
        <w:ind w:left="426"/>
      </w:pPr>
      <w:r w:rsidRPr="00343AC5">
        <w:rPr>
          <w:rFonts w:cs="Arial Unicode MS"/>
        </w:rPr>
        <w:t>Reviewing proxy access</w:t>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00BD3568">
        <w:rPr>
          <w:rFonts w:cs="Arial Unicode MS"/>
        </w:rPr>
        <w:tab/>
      </w:r>
      <w:r w:rsidRPr="00343AC5">
        <w:rPr>
          <w:rFonts w:cs="Arial Unicode MS"/>
        </w:rPr>
        <w:tab/>
        <w:t>4</w:t>
      </w:r>
    </w:p>
    <w:p w14:paraId="32EC3B5D" w14:textId="496DE907" w:rsidR="00225E64" w:rsidRPr="00343AC5" w:rsidRDefault="00DC67A3" w:rsidP="00BD3568">
      <w:pPr>
        <w:pStyle w:val="ListParagraph"/>
        <w:numPr>
          <w:ilvl w:val="0"/>
          <w:numId w:val="10"/>
        </w:numPr>
        <w:spacing w:before="120" w:line="288" w:lineRule="auto"/>
        <w:ind w:left="426"/>
      </w:pPr>
      <w:r w:rsidRPr="00343AC5">
        <w:rPr>
          <w:rFonts w:cs="Arial Unicode MS"/>
        </w:rPr>
        <w:t>Proxy access without the patient’s consent</w:t>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003C1A1D">
        <w:rPr>
          <w:rFonts w:cs="Arial Unicode MS"/>
        </w:rPr>
        <w:t>5</w:t>
      </w:r>
    </w:p>
    <w:p w14:paraId="69987B94" w14:textId="2CB639F8" w:rsidR="00225E64" w:rsidRPr="00343AC5" w:rsidRDefault="00F81CEA" w:rsidP="00BD3568">
      <w:pPr>
        <w:pStyle w:val="ListParagraph"/>
        <w:numPr>
          <w:ilvl w:val="0"/>
          <w:numId w:val="10"/>
        </w:numPr>
        <w:spacing w:before="120" w:line="288" w:lineRule="auto"/>
        <w:ind w:left="426"/>
      </w:pPr>
      <w:r>
        <w:rPr>
          <w:rFonts w:cs="Arial Unicode MS"/>
        </w:rPr>
        <w:t xml:space="preserve">Planning for </w:t>
      </w:r>
      <w:r w:rsidR="00DC67A3" w:rsidRPr="00343AC5">
        <w:rPr>
          <w:rFonts w:cs="Arial Unicode MS"/>
        </w:rPr>
        <w:t>Loss of capacity</w:t>
      </w:r>
      <w:r>
        <w:rPr>
          <w:rFonts w:cs="Arial Unicode MS"/>
        </w:rPr>
        <w:t xml:space="preserve"> </w:t>
      </w:r>
      <w:r w:rsidR="00DC67A3" w:rsidRPr="00343AC5">
        <w:rPr>
          <w:rFonts w:cs="Arial Unicode MS"/>
        </w:rPr>
        <w:tab/>
      </w:r>
      <w:r w:rsidR="00DC67A3" w:rsidRPr="00343AC5">
        <w:rPr>
          <w:rFonts w:cs="Arial Unicode MS"/>
        </w:rPr>
        <w:tab/>
      </w:r>
      <w:r w:rsidR="00DC67A3" w:rsidRPr="00343AC5">
        <w:rPr>
          <w:rFonts w:cs="Arial Unicode MS"/>
        </w:rPr>
        <w:tab/>
      </w:r>
      <w:r w:rsidR="00DC67A3" w:rsidRPr="00343AC5">
        <w:rPr>
          <w:rFonts w:cs="Arial Unicode MS"/>
        </w:rPr>
        <w:tab/>
      </w:r>
      <w:r w:rsidR="00DC67A3" w:rsidRPr="00343AC5">
        <w:rPr>
          <w:rFonts w:cs="Arial Unicode MS"/>
        </w:rPr>
        <w:tab/>
      </w:r>
      <w:r w:rsidR="00DC67A3" w:rsidRPr="00343AC5">
        <w:rPr>
          <w:rFonts w:cs="Arial Unicode MS"/>
        </w:rPr>
        <w:tab/>
      </w:r>
      <w:r w:rsidR="00DC67A3" w:rsidRPr="00343AC5">
        <w:rPr>
          <w:rFonts w:cs="Arial Unicode MS"/>
        </w:rPr>
        <w:tab/>
      </w:r>
      <w:r w:rsidR="00BD3568">
        <w:rPr>
          <w:rFonts w:cs="Arial Unicode MS"/>
        </w:rPr>
        <w:tab/>
      </w:r>
      <w:r w:rsidR="008B44CC">
        <w:rPr>
          <w:rFonts w:cs="Arial Unicode MS"/>
        </w:rPr>
        <w:t>6</w:t>
      </w:r>
    </w:p>
    <w:p w14:paraId="56715765" w14:textId="02978505" w:rsidR="00225E64" w:rsidRPr="00343AC5" w:rsidRDefault="00DC67A3" w:rsidP="00BD3568">
      <w:pPr>
        <w:pStyle w:val="ListParagraph"/>
        <w:numPr>
          <w:ilvl w:val="0"/>
          <w:numId w:val="10"/>
        </w:numPr>
        <w:spacing w:before="120" w:line="288" w:lineRule="auto"/>
        <w:ind w:left="426"/>
      </w:pPr>
      <w:r w:rsidRPr="00343AC5">
        <w:rPr>
          <w:rFonts w:cs="Arial Unicode MS"/>
        </w:rPr>
        <w:t>Proxy access for direct care</w:t>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Pr="00343AC5">
        <w:rPr>
          <w:rFonts w:cs="Arial Unicode MS"/>
        </w:rPr>
        <w:tab/>
      </w:r>
      <w:r w:rsidR="008B44CC">
        <w:rPr>
          <w:rFonts w:cs="Arial Unicode MS"/>
        </w:rPr>
        <w:t>6</w:t>
      </w:r>
    </w:p>
    <w:p w14:paraId="0DE97D6A" w14:textId="77777777" w:rsidR="00343AC5" w:rsidRDefault="00343AC5" w:rsidP="00B10480">
      <w:pPr>
        <w:spacing w:line="288" w:lineRule="auto"/>
        <w:rPr>
          <w:rFonts w:ascii="Arial Unicode MS" w:hAnsi="Arial Unicode MS" w:cs="Arial Unicode MS"/>
          <w:color w:val="000000"/>
          <w:sz w:val="22"/>
          <w:szCs w:val="22"/>
          <w:u w:color="000000"/>
          <w14:textOutline w14:w="0" w14:cap="flat" w14:cmpd="sng" w14:algn="ctr">
            <w14:noFill/>
            <w14:prstDash w14:val="solid"/>
            <w14:bevel/>
          </w14:textOutline>
        </w:rPr>
      </w:pPr>
    </w:p>
    <w:p w14:paraId="42A262FA" w14:textId="77777777" w:rsidR="00343AC5" w:rsidRDefault="00343AC5" w:rsidP="00B10480">
      <w:pPr>
        <w:spacing w:line="288" w:lineRule="auto"/>
        <w:rPr>
          <w:rFonts w:ascii="Arial Unicode MS" w:hAnsi="Arial Unicode MS" w:cs="Arial Unicode MS"/>
          <w:color w:val="000000"/>
          <w:sz w:val="22"/>
          <w:szCs w:val="22"/>
          <w:u w:color="000000"/>
          <w14:textOutline w14:w="0" w14:cap="flat" w14:cmpd="sng" w14:algn="ctr">
            <w14:noFill/>
            <w14:prstDash w14:val="solid"/>
            <w14:bevel/>
          </w14:textOutline>
        </w:rPr>
      </w:pPr>
    </w:p>
    <w:p w14:paraId="3E7A9F1C" w14:textId="517CFA7D" w:rsidR="00225E64" w:rsidRPr="00BA608D" w:rsidRDefault="00DC67A3" w:rsidP="00BA608D">
      <w:pPr>
        <w:pStyle w:val="ListParagraph"/>
        <w:numPr>
          <w:ilvl w:val="0"/>
          <w:numId w:val="13"/>
        </w:numPr>
        <w:spacing w:before="120" w:line="288" w:lineRule="auto"/>
        <w:rPr>
          <w:rFonts w:ascii="Lato" w:hAnsi="Lato"/>
          <w:color w:val="000000" w:themeColor="text1"/>
          <w:sz w:val="32"/>
          <w:szCs w:val="32"/>
        </w:rPr>
      </w:pPr>
      <w:r w:rsidRPr="00BA608D">
        <w:rPr>
          <w:rFonts w:ascii="Lato" w:hAnsi="Lato" w:cs="Arial Unicode MS"/>
          <w:color w:val="000000" w:themeColor="text1"/>
          <w:sz w:val="32"/>
          <w:szCs w:val="32"/>
        </w:rPr>
        <w:t>Introduction</w:t>
      </w:r>
    </w:p>
    <w:p w14:paraId="19A5D491" w14:textId="60A9749D" w:rsidR="00225E64" w:rsidRDefault="00DC67A3" w:rsidP="00BD3568">
      <w:pPr>
        <w:spacing w:before="120" w:line="288" w:lineRule="auto"/>
        <w:rPr>
          <w:rFonts w:ascii="Arial" w:hAnsi="Arial" w:cs="Arial Unicode MS"/>
          <w:color w:val="000000"/>
          <w:sz w:val="22"/>
          <w:szCs w:val="22"/>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 xml:space="preserve">Some patients would like to give someone else access to their GP Online Services account, although this means that they cannot have their own login to use the practice GP Online Services for themselves.  It may be a family member, a close friend or </w:t>
      </w:r>
      <w:proofErr w:type="spellStart"/>
      <w:r>
        <w:rPr>
          <w:rFonts w:ascii="Arial" w:hAnsi="Arial" w:cs="Arial Unicode MS"/>
          <w:color w:val="000000"/>
          <w:sz w:val="22"/>
          <w:szCs w:val="22"/>
          <w14:textOutline w14:w="0" w14:cap="flat" w14:cmpd="sng" w14:algn="ctr">
            <w14:noFill/>
            <w14:prstDash w14:val="solid"/>
            <w14:bevel/>
          </w14:textOutline>
        </w:rPr>
        <w:t>carer</w:t>
      </w:r>
      <w:proofErr w:type="spellEnd"/>
      <w:r>
        <w:rPr>
          <w:rFonts w:ascii="Arial" w:hAnsi="Arial" w:cs="Arial Unicode MS"/>
          <w:color w:val="000000"/>
          <w:sz w:val="22"/>
          <w:szCs w:val="22"/>
          <w14:textOutline w14:w="0" w14:cap="flat" w14:cmpd="sng" w14:algn="ctr">
            <w14:noFill/>
            <w14:prstDash w14:val="solid"/>
            <w14:bevel/>
          </w14:textOutline>
        </w:rPr>
        <w:t xml:space="preserve">, who can use it to book appointments or order repeat prescriptions on their behalf or to help them manage their healthcare with access to their clinical record.  This is called </w:t>
      </w:r>
      <w:r>
        <w:rPr>
          <w:rFonts w:ascii="Arial" w:hAnsi="Arial" w:cs="Arial Unicode MS"/>
          <w:b/>
          <w:bCs/>
          <w:color w:val="000000"/>
          <w:sz w:val="22"/>
          <w:szCs w:val="22"/>
          <w14:textOutline w14:w="0" w14:cap="flat" w14:cmpd="sng" w14:algn="ctr">
            <w14:noFill/>
            <w14:prstDash w14:val="solid"/>
            <w14:bevel/>
          </w14:textOutline>
        </w:rPr>
        <w:t xml:space="preserve">proxy access </w:t>
      </w:r>
      <w:r>
        <w:rPr>
          <w:rFonts w:ascii="Arial" w:hAnsi="Arial" w:cs="Arial Unicode MS"/>
          <w:color w:val="000000"/>
          <w:sz w:val="22"/>
          <w:szCs w:val="22"/>
          <w14:textOutline w14:w="0" w14:cap="flat" w14:cmpd="sng" w14:algn="ctr">
            <w14:noFill/>
            <w14:prstDash w14:val="solid"/>
            <w14:bevel/>
          </w14:textOutline>
        </w:rPr>
        <w:t>and is the subject of this guidance.</w:t>
      </w:r>
    </w:p>
    <w:p w14:paraId="627A1230" w14:textId="77777777" w:rsidR="00181150" w:rsidRDefault="00181150" w:rsidP="00181150">
      <w:pPr>
        <w:spacing w:before="120" w:line="288" w:lineRule="auto"/>
        <w:rPr>
          <w:rFonts w:ascii="Arial" w:eastAsia="Arial" w:hAnsi="Arial" w:cs="Arial"/>
          <w:color w:val="000000"/>
          <w:sz w:val="22"/>
          <w:szCs w:val="22"/>
          <w14:textOutline w14:w="0" w14:cap="flat" w14:cmpd="sng" w14:algn="ctr">
            <w14:noFill/>
            <w14:prstDash w14:val="solid"/>
            <w14:bevel/>
          </w14:textOutline>
        </w:rPr>
      </w:pPr>
      <w:r w:rsidRPr="2CC83FBA">
        <w:rPr>
          <w:rFonts w:ascii="Arial" w:hAnsi="Arial" w:cs="Arial Unicode MS"/>
          <w:color w:val="000000"/>
          <w:sz w:val="22"/>
          <w:szCs w:val="22"/>
          <w14:textOutline w14:w="0" w14:cap="flat" w14:cmpd="sng" w14:algn="ctr">
            <w14:noFill/>
            <w14:prstDash w14:val="solid"/>
            <w14:bevel/>
          </w14:textOutline>
        </w:rPr>
        <w:t xml:space="preserve">Family and close friends are the commonest proxies </w:t>
      </w:r>
      <w:r>
        <w:rPr>
          <w:rFonts w:ascii="Arial" w:hAnsi="Arial" w:cs="Arial Unicode MS"/>
          <w:color w:val="000000"/>
          <w:sz w:val="22"/>
          <w:szCs w:val="22"/>
          <w14:textOutline w14:w="0" w14:cap="flat" w14:cmpd="sng" w14:algn="ctr">
            <w14:noFill/>
            <w14:prstDash w14:val="solid"/>
            <w14:bevel/>
          </w14:textOutline>
        </w:rPr>
        <w:t>when patients lose capacity</w:t>
      </w:r>
      <w:r w:rsidRPr="2CC83FBA">
        <w:rPr>
          <w:rFonts w:ascii="Arial" w:hAnsi="Arial" w:cs="Arial Unicode MS"/>
          <w:color w:val="000000"/>
          <w:sz w:val="22"/>
          <w:szCs w:val="22"/>
          <w14:textOutline w14:w="0" w14:cap="flat" w14:cmpd="sng" w14:algn="ctr">
            <w14:noFill/>
            <w14:prstDash w14:val="solid"/>
            <w14:bevel/>
          </w14:textOutline>
        </w:rPr>
        <w:t>.</w:t>
      </w:r>
      <w:r>
        <w:rPr>
          <w:rFonts w:ascii="Arial" w:hAnsi="Arial" w:cs="Arial Unicode MS"/>
          <w:color w:val="000000"/>
          <w:sz w:val="22"/>
          <w:szCs w:val="22"/>
          <w14:textOutline w14:w="0" w14:cap="flat" w14:cmpd="sng" w14:algn="ctr">
            <w14:noFill/>
            <w14:prstDash w14:val="solid"/>
            <w14:bevel/>
          </w14:textOutline>
        </w:rPr>
        <w:t xml:space="preserve"> </w:t>
      </w:r>
      <w:r w:rsidRPr="2CC83FBA">
        <w:rPr>
          <w:rFonts w:ascii="Arial" w:hAnsi="Arial" w:cs="Arial Unicode MS"/>
          <w:color w:val="000000"/>
          <w:sz w:val="22"/>
          <w:szCs w:val="22"/>
          <w14:textOutline w14:w="0" w14:cap="flat" w14:cmpd="sng" w14:algn="ctr">
            <w14:noFill/>
            <w14:prstDash w14:val="solid"/>
            <w14:bevel/>
          </w14:textOutline>
        </w:rPr>
        <w:t xml:space="preserve"> </w:t>
      </w:r>
      <w:r>
        <w:rPr>
          <w:rFonts w:ascii="Arial" w:hAnsi="Arial" w:cs="Arial Unicode MS"/>
          <w:color w:val="000000"/>
          <w:sz w:val="22"/>
          <w:szCs w:val="22"/>
          <w14:textOutline w14:w="0" w14:cap="flat" w14:cmpd="sng" w14:algn="ctr">
            <w14:noFill/>
            <w14:prstDash w14:val="solid"/>
            <w14:bevel/>
          </w14:textOutline>
        </w:rPr>
        <w:t>They</w:t>
      </w:r>
      <w:r w:rsidRPr="2CC83FBA">
        <w:rPr>
          <w:rFonts w:ascii="Arial" w:hAnsi="Arial" w:cs="Arial Unicode MS"/>
          <w:color w:val="000000"/>
          <w:sz w:val="22"/>
          <w:szCs w:val="22"/>
          <w14:textOutline w14:w="0" w14:cap="flat" w14:cmpd="sng" w14:algn="ctr">
            <w14:noFill/>
            <w14:prstDash w14:val="solid"/>
            <w14:bevel/>
          </w14:textOutline>
        </w:rPr>
        <w:t xml:space="preserve"> may live a distance away and </w:t>
      </w:r>
      <w:r>
        <w:rPr>
          <w:rFonts w:ascii="Arial" w:hAnsi="Arial" w:cs="Arial Unicode MS"/>
          <w:color w:val="000000"/>
          <w:sz w:val="22"/>
          <w:szCs w:val="22"/>
          <w14:textOutline w14:w="0" w14:cap="flat" w14:cmpd="sng" w14:algn="ctr">
            <w14:noFill/>
            <w14:prstDash w14:val="solid"/>
            <w14:bevel/>
          </w14:textOutline>
        </w:rPr>
        <w:t xml:space="preserve">can </w:t>
      </w:r>
      <w:r w:rsidRPr="2CC83FBA">
        <w:rPr>
          <w:rFonts w:ascii="Arial" w:hAnsi="Arial" w:cs="Arial Unicode MS"/>
          <w:color w:val="000000"/>
          <w:sz w:val="22"/>
          <w:szCs w:val="22"/>
          <w14:textOutline w14:w="0" w14:cap="flat" w14:cmpd="sng" w14:algn="ctr">
            <w14:noFill/>
            <w14:prstDash w14:val="solid"/>
            <w14:bevel/>
          </w14:textOutline>
        </w:rPr>
        <w:t>use proxy access to keep up to date with the patient's healthcare so that they know when their help is needed.</w:t>
      </w:r>
    </w:p>
    <w:p w14:paraId="0018A025" w14:textId="77777777" w:rsidR="00181150" w:rsidRDefault="00181150" w:rsidP="00181150">
      <w:pPr>
        <w:spacing w:before="120" w:line="288" w:lineRule="auto"/>
        <w:rPr>
          <w:rFonts w:ascii="Arial" w:eastAsia="Arial" w:hAnsi="Arial" w:cs="Arial"/>
          <w:color w:val="000000"/>
          <w:sz w:val="22"/>
          <w:szCs w:val="22"/>
          <w14:textOutline w14:w="0" w14:cap="flat" w14:cmpd="sng" w14:algn="ctr">
            <w14:noFill/>
            <w14:prstDash w14:val="solid"/>
            <w14:bevel/>
          </w14:textOutline>
        </w:rPr>
      </w:pPr>
      <w:r w:rsidRPr="2CC83FBA">
        <w:rPr>
          <w:rFonts w:ascii="Arial" w:hAnsi="Arial" w:cs="Arial Unicode MS"/>
          <w:color w:val="000000"/>
          <w:sz w:val="22"/>
          <w:szCs w:val="22"/>
          <w14:textOutline w14:w="0" w14:cap="flat" w14:cmpd="sng" w14:algn="ctr">
            <w14:noFill/>
            <w14:prstDash w14:val="solid"/>
            <w14:bevel/>
          </w14:textOutline>
        </w:rPr>
        <w:t xml:space="preserve">Patients who are losing capacity may not be able to clearly remember consultations with their health professionals, test results, management plans or medication changes. </w:t>
      </w:r>
      <w:r>
        <w:rPr>
          <w:rFonts w:ascii="Arial" w:hAnsi="Arial" w:cs="Arial Unicode MS"/>
          <w:color w:val="000000"/>
          <w:sz w:val="22"/>
          <w:szCs w:val="22"/>
          <w14:textOutline w14:w="0" w14:cap="flat" w14:cmpd="sng" w14:algn="ctr">
            <w14:noFill/>
            <w14:prstDash w14:val="solid"/>
            <w14:bevel/>
          </w14:textOutline>
        </w:rPr>
        <w:t xml:space="preserve"> </w:t>
      </w:r>
      <w:r w:rsidRPr="2CC83FBA">
        <w:rPr>
          <w:rFonts w:ascii="Arial" w:hAnsi="Arial" w:cs="Arial Unicode MS"/>
          <w:color w:val="000000"/>
          <w:sz w:val="22"/>
          <w:szCs w:val="22"/>
          <w14:textOutline w14:w="0" w14:cap="flat" w14:cmpd="sng" w14:algn="ctr">
            <w14:noFill/>
            <w14:prstDash w14:val="solid"/>
            <w14:bevel/>
          </w14:textOutline>
        </w:rPr>
        <w:t xml:space="preserve">Proxy access improves communication between </w:t>
      </w:r>
      <w:proofErr w:type="spellStart"/>
      <w:r w:rsidRPr="2CC83FBA">
        <w:rPr>
          <w:rFonts w:ascii="Arial" w:hAnsi="Arial" w:cs="Arial Unicode MS"/>
          <w:color w:val="000000"/>
          <w:sz w:val="22"/>
          <w:szCs w:val="22"/>
          <w14:textOutline w14:w="0" w14:cap="flat" w14:cmpd="sng" w14:algn="ctr">
            <w14:noFill/>
            <w14:prstDash w14:val="solid"/>
            <w14:bevel/>
          </w14:textOutline>
        </w:rPr>
        <w:t>carers</w:t>
      </w:r>
      <w:proofErr w:type="spellEnd"/>
      <w:r w:rsidRPr="2CC83FBA">
        <w:rPr>
          <w:rFonts w:ascii="Arial" w:hAnsi="Arial" w:cs="Arial Unicode MS"/>
          <w:color w:val="000000"/>
          <w:sz w:val="22"/>
          <w:szCs w:val="22"/>
          <w14:textOutline w14:w="0" w14:cap="flat" w14:cmpd="sng" w14:algn="ctr">
            <w14:noFill/>
            <w14:prstDash w14:val="solid"/>
            <w14:bevel/>
          </w14:textOutline>
        </w:rPr>
        <w:t xml:space="preserve"> and health professionals, not just in the practice, but also hospital departments if the proxy has access to recent clinical correspondence.</w:t>
      </w:r>
    </w:p>
    <w:p w14:paraId="6D4BCB62" w14:textId="462B4318" w:rsidR="00FA6970" w:rsidRPr="00FA6970" w:rsidRDefault="00997160" w:rsidP="00FA6970">
      <w:pPr>
        <w:pBdr>
          <w:top w:val="none" w:sz="0" w:space="0" w:color="auto"/>
          <w:left w:val="none" w:sz="0" w:space="0" w:color="auto"/>
          <w:bottom w:val="none" w:sz="0" w:space="0" w:color="auto"/>
          <w:right w:val="none" w:sz="0" w:space="0" w:color="auto"/>
          <w:between w:val="none" w:sz="0" w:space="0" w:color="auto"/>
          <w:bar w:val="none" w:sz="0" w:color="auto"/>
        </w:pBdr>
        <w:spacing w:before="120" w:line="288" w:lineRule="auto"/>
        <w:rPr>
          <w:rFonts w:ascii="Arial" w:eastAsia="Times New Roman" w:hAnsi="Arial" w:cs="Arial"/>
          <w:color w:val="000000" w:themeColor="text1"/>
          <w:sz w:val="22"/>
          <w:szCs w:val="22"/>
          <w:bdr w:val="none" w:sz="0" w:space="0" w:color="auto"/>
          <w:lang w:val="en-GB" w:eastAsia="en-GB"/>
        </w:rPr>
      </w:pPr>
      <w:r w:rsidRPr="00997160">
        <w:rPr>
          <w:rFonts w:ascii="Arial" w:eastAsia="Times New Roman" w:hAnsi="Arial" w:cs="Arial"/>
          <w:color w:val="000000" w:themeColor="text1"/>
          <w:sz w:val="22"/>
          <w:szCs w:val="22"/>
          <w:bdr w:val="none" w:sz="0" w:space="0" w:color="auto"/>
          <w:lang w:val="en-GB" w:eastAsia="en-GB"/>
        </w:rPr>
        <w:lastRenderedPageBreak/>
        <w:t>Depending on which clinical system your practice uses, proxy access might be known as linked profiles. In the NHS App proxy access is always referred to as linked profiles.</w:t>
      </w:r>
      <w:r w:rsidRPr="003C1A1D">
        <w:rPr>
          <w:rFonts w:ascii="Arial" w:eastAsia="Times New Roman" w:hAnsi="Arial" w:cs="Arial"/>
          <w:color w:val="000000" w:themeColor="text1"/>
          <w:sz w:val="22"/>
          <w:szCs w:val="22"/>
          <w:bdr w:val="none" w:sz="0" w:space="0" w:color="auto"/>
          <w:lang w:val="en-GB" w:eastAsia="en-GB"/>
        </w:rPr>
        <w:t xml:space="preserve">  </w:t>
      </w:r>
      <w:r w:rsidRPr="00997160">
        <w:rPr>
          <w:rFonts w:ascii="Arial" w:eastAsia="Times New Roman" w:hAnsi="Arial" w:cs="Arial"/>
          <w:color w:val="000000" w:themeColor="text1"/>
          <w:sz w:val="22"/>
          <w:szCs w:val="22"/>
          <w:bdr w:val="none" w:sz="0" w:space="0" w:color="auto"/>
          <w:lang w:val="en-GB" w:eastAsia="en-GB"/>
        </w:rPr>
        <w:t>Linked profiles let patients access medical services for a child, or someone else they care for. Once a GP has set up proxy access, a patient can use the linked profiles feature in the NHS App. </w:t>
      </w:r>
    </w:p>
    <w:p w14:paraId="7D1C1649" w14:textId="2459B363" w:rsidR="00997160" w:rsidRPr="00FA6970" w:rsidRDefault="00FA6970" w:rsidP="00BD3568">
      <w:pPr>
        <w:spacing w:before="120" w:line="288" w:lineRule="auto"/>
        <w:rPr>
          <w:rFonts w:ascii="Arial" w:hAnsi="Arial" w:cs="Arial Unicode MS"/>
          <w:sz w:val="22"/>
          <w:szCs w:val="22"/>
          <w14:textOutline w14:w="0" w14:cap="flat" w14:cmpd="sng" w14:algn="ctr">
            <w14:noFill/>
            <w14:prstDash w14:val="solid"/>
            <w14:bevel/>
          </w14:textOutline>
        </w:rPr>
      </w:pPr>
      <w:r>
        <w:rPr>
          <w:rFonts w:ascii="Webdings" w:hAnsi="Webdings" w:cs="Arial Unicode MS"/>
          <w:color w:val="00B050"/>
          <w:sz w:val="22"/>
          <w:szCs w:val="22"/>
          <w14:textOutline w14:w="0" w14:cap="flat" w14:cmpd="sng" w14:algn="ctr">
            <w14:noFill/>
            <w14:prstDash w14:val="solid"/>
            <w14:bevel/>
          </w14:textOutline>
        </w:rPr>
        <w:t xml:space="preserve">i </w:t>
      </w:r>
      <w:r w:rsidR="00BA608D" w:rsidRPr="00FA6970">
        <w:rPr>
          <w:rFonts w:ascii="Arial" w:hAnsi="Arial" w:cs="Arial Unicode MS"/>
          <w:sz w:val="22"/>
          <w:szCs w:val="22"/>
          <w14:textOutline w14:w="0" w14:cap="flat" w14:cmpd="sng" w14:algn="ctr">
            <w14:noFill/>
            <w14:prstDash w14:val="solid"/>
            <w14:bevel/>
          </w14:textOutline>
        </w:rPr>
        <w:t>I</w:t>
      </w:r>
      <w:r w:rsidR="00997160" w:rsidRPr="00FA6970">
        <w:rPr>
          <w:rFonts w:ascii="Arial" w:hAnsi="Arial" w:cs="Arial Unicode MS"/>
          <w:sz w:val="22"/>
          <w:szCs w:val="22"/>
          <w14:textOutline w14:w="0" w14:cap="flat" w14:cmpd="sng" w14:algn="ctr">
            <w14:noFill/>
            <w14:prstDash w14:val="solid"/>
            <w14:bevel/>
          </w14:textOutline>
        </w:rPr>
        <w:t xml:space="preserve">nformation about how to set up proxy access in EMIS and TPP systems and NHS App linked profiles </w:t>
      </w:r>
      <w:r w:rsidR="00BA608D" w:rsidRPr="00FA6970">
        <w:rPr>
          <w:rFonts w:ascii="Arial" w:hAnsi="Arial" w:cs="Arial Unicode MS"/>
          <w:sz w:val="22"/>
          <w:szCs w:val="22"/>
          <w14:textOutline w14:w="0" w14:cap="flat" w14:cmpd="sng" w14:algn="ctr">
            <w14:noFill/>
            <w14:prstDash w14:val="solid"/>
            <w14:bevel/>
          </w14:textOutline>
        </w:rPr>
        <w:t xml:space="preserve">can be found </w:t>
      </w:r>
      <w:hyperlink r:id="rId12" w:history="1">
        <w:r w:rsidR="00997160" w:rsidRPr="00FA6970">
          <w:rPr>
            <w:rStyle w:val="Hyperlink"/>
            <w:rFonts w:ascii="Arial" w:hAnsi="Arial" w:cs="Arial Unicode MS"/>
            <w:sz w:val="22"/>
            <w:szCs w:val="22"/>
            <w14:textOutline w14:w="0" w14:cap="flat" w14:cmpd="sng" w14:algn="ctr">
              <w14:noFill/>
              <w14:prstDash w14:val="solid"/>
              <w14:bevel/>
            </w14:textOutline>
          </w:rPr>
          <w:t>here</w:t>
        </w:r>
      </w:hyperlink>
    </w:p>
    <w:p w14:paraId="44B5C33D" w14:textId="0B1FA7AB" w:rsidR="00035F0F" w:rsidRDefault="00DC67A3" w:rsidP="00BD3568">
      <w:pPr>
        <w:spacing w:before="120" w:line="288" w:lineRule="auto"/>
        <w:rPr>
          <w:rFonts w:ascii="Arial" w:hAnsi="Arial" w:cs="Arial Unicode MS"/>
          <w:color w:val="000000"/>
          <w:sz w:val="22"/>
          <w:szCs w:val="22"/>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Anyone with capacity to make a</w:t>
      </w:r>
      <w:r w:rsidR="007D24EE">
        <w:rPr>
          <w:rFonts w:ascii="Arial" w:hAnsi="Arial" w:cs="Arial Unicode MS"/>
          <w:color w:val="000000"/>
          <w:sz w:val="22"/>
          <w:szCs w:val="22"/>
          <w14:textOutline w14:w="0" w14:cap="flat" w14:cmpd="sng" w14:algn="ctr">
            <w14:noFill/>
            <w14:prstDash w14:val="solid"/>
            <w14:bevel/>
          </w14:textOutline>
        </w:rPr>
        <w:t xml:space="preserve">n informed </w:t>
      </w:r>
      <w:r>
        <w:rPr>
          <w:rFonts w:ascii="Arial" w:hAnsi="Arial" w:cs="Arial Unicode MS"/>
          <w:color w:val="000000"/>
          <w:sz w:val="22"/>
          <w:szCs w:val="22"/>
          <w14:textOutline w14:w="0" w14:cap="flat" w14:cmpd="sng" w14:algn="ctr">
            <w14:noFill/>
            <w14:prstDash w14:val="solid"/>
            <w14:bevel/>
          </w14:textOutline>
        </w:rPr>
        <w:t xml:space="preserve">decision about proxy access may give consent </w:t>
      </w:r>
      <w:r w:rsidR="001505BF">
        <w:rPr>
          <w:rFonts w:ascii="Arial" w:hAnsi="Arial" w:cs="Arial Unicode MS"/>
          <w:color w:val="000000"/>
          <w:sz w:val="22"/>
          <w:szCs w:val="22"/>
          <w14:textOutline w14:w="0" w14:cap="flat" w14:cmpd="sng" w14:algn="ctr">
            <w14:noFill/>
            <w14:prstDash w14:val="solid"/>
            <w14:bevel/>
          </w14:textOutline>
        </w:rPr>
        <w:t>for</w:t>
      </w:r>
      <w:r>
        <w:rPr>
          <w:rFonts w:ascii="Arial" w:hAnsi="Arial" w:cs="Arial Unicode MS"/>
          <w:color w:val="000000"/>
          <w:sz w:val="22"/>
          <w:szCs w:val="22"/>
          <w14:textOutline w14:w="0" w14:cap="flat" w14:cmpd="sng" w14:algn="ctr">
            <w14:noFill/>
            <w14:prstDash w14:val="solid"/>
            <w14:bevel/>
          </w14:textOutline>
        </w:rPr>
        <w:t xml:space="preserve"> the practice to give their representative their own personal login credentials (usually passwords) to access the patient’s </w:t>
      </w:r>
      <w:r w:rsidR="007D24EE">
        <w:rPr>
          <w:rFonts w:ascii="Arial" w:hAnsi="Arial" w:cs="Arial Unicode MS"/>
          <w:color w:val="000000"/>
          <w:sz w:val="22"/>
          <w:szCs w:val="22"/>
          <w14:textOutline w14:w="0" w14:cap="flat" w14:cmpd="sng" w14:algn="ctr">
            <w14:noFill/>
            <w14:prstDash w14:val="solid"/>
            <w14:bevel/>
          </w14:textOutline>
        </w:rPr>
        <w:t>practice</w:t>
      </w:r>
      <w:r>
        <w:rPr>
          <w:rFonts w:ascii="Arial" w:hAnsi="Arial" w:cs="Arial Unicode MS"/>
          <w:color w:val="000000"/>
          <w:sz w:val="22"/>
          <w:szCs w:val="22"/>
          <w14:textOutline w14:w="0" w14:cap="flat" w14:cmpd="sng" w14:algn="ctr">
            <w14:noFill/>
            <w14:prstDash w14:val="solid"/>
            <w14:bevel/>
          </w14:textOutline>
        </w:rPr>
        <w:t xml:space="preserve"> </w:t>
      </w:r>
      <w:r w:rsidR="007D24EE">
        <w:rPr>
          <w:rFonts w:ascii="Arial" w:hAnsi="Arial" w:cs="Arial Unicode MS"/>
          <w:color w:val="000000"/>
          <w:sz w:val="22"/>
          <w:szCs w:val="22"/>
          <w14:textOutline w14:w="0" w14:cap="flat" w14:cmpd="sng" w14:algn="ctr">
            <w14:noFill/>
            <w14:prstDash w14:val="solid"/>
            <w14:bevel/>
          </w14:textOutline>
        </w:rPr>
        <w:t>o</w:t>
      </w:r>
      <w:r>
        <w:rPr>
          <w:rFonts w:ascii="Arial" w:hAnsi="Arial" w:cs="Arial Unicode MS"/>
          <w:color w:val="000000"/>
          <w:sz w:val="22"/>
          <w:szCs w:val="22"/>
          <w14:textOutline w14:w="0" w14:cap="flat" w14:cmpd="sng" w14:algn="ctr">
            <w14:noFill/>
            <w14:prstDash w14:val="solid"/>
            <w14:bevel/>
          </w14:textOutline>
        </w:rPr>
        <w:t xml:space="preserve">nline </w:t>
      </w:r>
      <w:r w:rsidR="007D24EE">
        <w:rPr>
          <w:rFonts w:ascii="Arial" w:hAnsi="Arial" w:cs="Arial Unicode MS"/>
          <w:color w:val="000000"/>
          <w:sz w:val="22"/>
          <w:szCs w:val="22"/>
          <w14:textOutline w14:w="0" w14:cap="flat" w14:cmpd="sng" w14:algn="ctr">
            <w14:noFill/>
            <w14:prstDash w14:val="solid"/>
            <w14:bevel/>
          </w14:textOutline>
        </w:rPr>
        <w:t>s</w:t>
      </w:r>
      <w:r>
        <w:rPr>
          <w:rFonts w:ascii="Arial" w:hAnsi="Arial" w:cs="Arial Unicode MS"/>
          <w:color w:val="000000"/>
          <w:sz w:val="22"/>
          <w:szCs w:val="22"/>
          <w14:textOutline w14:w="0" w14:cap="flat" w14:cmpd="sng" w14:algn="ctr">
            <w14:noFill/>
            <w14:prstDash w14:val="solid"/>
            <w14:bevel/>
          </w14:textOutline>
        </w:rPr>
        <w:t>ervices account.</w:t>
      </w:r>
    </w:p>
    <w:p w14:paraId="7A3F11C5" w14:textId="2F5755CC" w:rsidR="00225E64" w:rsidRDefault="6477FABE" w:rsidP="3C88EF7B">
      <w:pPr>
        <w:spacing w:before="120" w:line="288" w:lineRule="auto"/>
        <w:rPr>
          <w:rFonts w:ascii="Arial" w:eastAsia="Arial" w:hAnsi="Arial" w:cs="Arial"/>
          <w:color w:val="000000" w:themeColor="text1"/>
          <w:sz w:val="22"/>
          <w:szCs w:val="22"/>
        </w:rPr>
      </w:pPr>
      <w:r>
        <w:rPr>
          <w:rFonts w:ascii="Arial" w:hAnsi="Arial" w:cs="Arial Unicode MS"/>
          <w:color w:val="000000"/>
          <w:sz w:val="22"/>
          <w:szCs w:val="22"/>
          <w14:textOutline w14:w="0" w14:cap="flat" w14:cmpd="sng" w14:algn="ctr">
            <w14:noFill/>
            <w14:prstDash w14:val="solid"/>
            <w14:bevel/>
          </w14:textOutline>
        </w:rPr>
        <w:t xml:space="preserve">If the patient lacks capacity to give informed consent, proxy access may still be given to a family member or </w:t>
      </w:r>
      <w:proofErr w:type="spellStart"/>
      <w:r>
        <w:rPr>
          <w:rFonts w:ascii="Arial" w:hAnsi="Arial" w:cs="Arial Unicode MS"/>
          <w:color w:val="000000"/>
          <w:sz w:val="22"/>
          <w:szCs w:val="22"/>
          <w14:textOutline w14:w="0" w14:cap="flat" w14:cmpd="sng" w14:algn="ctr">
            <w14:noFill/>
            <w14:prstDash w14:val="solid"/>
            <w14:bevel/>
          </w14:textOutline>
        </w:rPr>
        <w:t>carer</w:t>
      </w:r>
      <w:proofErr w:type="spellEnd"/>
      <w:r>
        <w:rPr>
          <w:rFonts w:ascii="Arial" w:hAnsi="Arial" w:cs="Arial Unicode MS"/>
          <w:color w:val="000000"/>
          <w:sz w:val="22"/>
          <w:szCs w:val="22"/>
          <w14:textOutline w14:w="0" w14:cap="flat" w14:cmpd="sng" w14:algn="ctr">
            <w14:noFill/>
            <w14:prstDash w14:val="solid"/>
            <w14:bevel/>
          </w14:textOutline>
        </w:rPr>
        <w:t xml:space="preserve">.  They must have a power of attorney for health and welfare, be a court appointed deputy or, if the GP judges it to be in the patient’s best interest.  This third option is safest if the patient made an advance decision about future proxy access, which was recorded in anticipation of future loss of capacity. </w:t>
      </w:r>
      <w:r w:rsidR="007D24EE">
        <w:rPr>
          <w:rFonts w:ascii="Arial" w:hAnsi="Arial" w:cs="Arial Unicode MS"/>
          <w:color w:val="000000"/>
          <w:sz w:val="22"/>
          <w:szCs w:val="22"/>
          <w14:textOutline w14:w="0" w14:cap="flat" w14:cmpd="sng" w14:algn="ctr">
            <w14:noFill/>
            <w14:prstDash w14:val="solid"/>
            <w14:bevel/>
          </w14:textOutline>
        </w:rPr>
        <w:t xml:space="preserve"> </w:t>
      </w:r>
      <w:r>
        <w:rPr>
          <w:rFonts w:ascii="Arial" w:hAnsi="Arial" w:cs="Arial Unicode MS"/>
          <w:color w:val="000000"/>
          <w:sz w:val="22"/>
          <w:szCs w:val="22"/>
          <w14:textOutline w14:w="0" w14:cap="flat" w14:cmpd="sng" w14:algn="ctr">
            <w14:noFill/>
            <w14:prstDash w14:val="solid"/>
            <w14:bevel/>
          </w14:textOutline>
        </w:rPr>
        <w:t>This may form part of normal advance planning for dementia or end of life care.</w:t>
      </w:r>
    </w:p>
    <w:p w14:paraId="58320503" w14:textId="44435717" w:rsidR="00225E64" w:rsidRDefault="3C88EF7B" w:rsidP="3C88EF7B">
      <w:pPr>
        <w:spacing w:before="120" w:line="288" w:lineRule="auto"/>
        <w:rPr>
          <w:rFonts w:ascii="Arial" w:hAnsi="Arial" w:cs="Arial Unicode MS"/>
          <w:color w:val="000000"/>
          <w:sz w:val="22"/>
          <w:szCs w:val="22"/>
          <w14:textOutline w14:w="0" w14:cap="flat" w14:cmpd="sng" w14:algn="ctr">
            <w14:noFill/>
            <w14:prstDash w14:val="solid"/>
            <w14:bevel/>
          </w14:textOutline>
        </w:rPr>
      </w:pPr>
      <w:r w:rsidRPr="3C88EF7B">
        <w:rPr>
          <w:rFonts w:ascii="Arial" w:hAnsi="Arial" w:cs="Arial Unicode MS"/>
          <w:color w:val="000000" w:themeColor="text1"/>
          <w:sz w:val="22"/>
          <w:szCs w:val="22"/>
        </w:rPr>
        <w:t xml:space="preserve">Patients should be discouraged from sharing their online credentials </w:t>
      </w:r>
      <w:proofErr w:type="gramStart"/>
      <w:r w:rsidRPr="3C88EF7B">
        <w:rPr>
          <w:rFonts w:ascii="Arial" w:hAnsi="Arial" w:cs="Arial Unicode MS"/>
          <w:color w:val="000000" w:themeColor="text1"/>
          <w:sz w:val="22"/>
          <w:szCs w:val="22"/>
        </w:rPr>
        <w:t>in order to</w:t>
      </w:r>
      <w:proofErr w:type="gramEnd"/>
      <w:r w:rsidRPr="3C88EF7B">
        <w:rPr>
          <w:rFonts w:ascii="Arial" w:hAnsi="Arial" w:cs="Arial Unicode MS"/>
          <w:color w:val="000000" w:themeColor="text1"/>
          <w:sz w:val="22"/>
          <w:szCs w:val="22"/>
        </w:rPr>
        <w:t xml:space="preserve"> provide other people access to their GP </w:t>
      </w:r>
      <w:r w:rsidR="007D24EE">
        <w:rPr>
          <w:rFonts w:ascii="Arial" w:hAnsi="Arial" w:cs="Arial Unicode MS"/>
          <w:color w:val="000000" w:themeColor="text1"/>
          <w:sz w:val="22"/>
          <w:szCs w:val="22"/>
        </w:rPr>
        <w:t>o</w:t>
      </w:r>
      <w:r w:rsidRPr="3C88EF7B">
        <w:rPr>
          <w:rFonts w:ascii="Arial" w:hAnsi="Arial" w:cs="Arial Unicode MS"/>
          <w:color w:val="000000" w:themeColor="text1"/>
          <w:sz w:val="22"/>
          <w:szCs w:val="22"/>
        </w:rPr>
        <w:t xml:space="preserve">nline </w:t>
      </w:r>
      <w:r w:rsidR="007D24EE">
        <w:rPr>
          <w:rFonts w:ascii="Arial" w:hAnsi="Arial" w:cs="Arial Unicode MS"/>
          <w:color w:val="000000" w:themeColor="text1"/>
          <w:sz w:val="22"/>
          <w:szCs w:val="22"/>
        </w:rPr>
        <w:t>s</w:t>
      </w:r>
      <w:r w:rsidRPr="3C88EF7B">
        <w:rPr>
          <w:rFonts w:ascii="Arial" w:hAnsi="Arial" w:cs="Arial Unicode MS"/>
          <w:color w:val="000000" w:themeColor="text1"/>
          <w:sz w:val="22"/>
          <w:szCs w:val="22"/>
        </w:rPr>
        <w:t xml:space="preserve">ervices. </w:t>
      </w:r>
      <w:r w:rsidR="007D24EE">
        <w:rPr>
          <w:rFonts w:ascii="Arial" w:hAnsi="Arial" w:cs="Arial Unicode MS"/>
          <w:color w:val="000000" w:themeColor="text1"/>
          <w:sz w:val="22"/>
          <w:szCs w:val="22"/>
        </w:rPr>
        <w:t xml:space="preserve"> It is preferable fo</w:t>
      </w:r>
      <w:r w:rsidR="002B7E89">
        <w:rPr>
          <w:rFonts w:ascii="Arial" w:hAnsi="Arial" w:cs="Arial Unicode MS"/>
          <w:color w:val="000000" w:themeColor="text1"/>
          <w:sz w:val="22"/>
          <w:szCs w:val="22"/>
        </w:rPr>
        <w:t xml:space="preserve">r </w:t>
      </w:r>
      <w:r w:rsidR="007D24EE">
        <w:rPr>
          <w:rFonts w:ascii="Arial" w:hAnsi="Arial" w:cs="Arial Unicode MS"/>
          <w:color w:val="000000" w:themeColor="text1"/>
          <w:sz w:val="22"/>
          <w:szCs w:val="22"/>
        </w:rPr>
        <w:t>their proxy to have their own individual</w:t>
      </w:r>
      <w:r w:rsidRPr="3C88EF7B">
        <w:rPr>
          <w:rFonts w:ascii="Arial" w:hAnsi="Arial" w:cs="Arial Unicode MS"/>
          <w:color w:val="000000" w:themeColor="text1"/>
          <w:sz w:val="22"/>
          <w:szCs w:val="22"/>
        </w:rPr>
        <w:t xml:space="preserve"> account </w:t>
      </w:r>
      <w:r w:rsidR="007D24EE">
        <w:rPr>
          <w:rFonts w:ascii="Arial" w:hAnsi="Arial" w:cs="Arial Unicode MS"/>
          <w:color w:val="000000" w:themeColor="text1"/>
          <w:sz w:val="22"/>
          <w:szCs w:val="22"/>
        </w:rPr>
        <w:t>and login credentials</w:t>
      </w:r>
      <w:r w:rsidRPr="3C88EF7B">
        <w:rPr>
          <w:rFonts w:ascii="Arial" w:hAnsi="Arial" w:cs="Arial Unicode MS"/>
          <w:color w:val="000000" w:themeColor="text1"/>
          <w:sz w:val="22"/>
          <w:szCs w:val="22"/>
        </w:rPr>
        <w:t>.</w:t>
      </w:r>
    </w:p>
    <w:p w14:paraId="4894B8DA" w14:textId="5783C6E8"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practice may </w:t>
      </w:r>
      <w:r w:rsidR="0082305C">
        <w:rPr>
          <w:rFonts w:ascii="Arial" w:hAnsi="Arial" w:cs="Arial Unicode MS"/>
          <w:color w:val="000000"/>
          <w:sz w:val="22"/>
          <w:szCs w:val="22"/>
          <w:u w:color="000000"/>
          <w14:textOutline w14:w="0" w14:cap="flat" w14:cmpd="sng" w14:algn="ctr">
            <w14:noFill/>
            <w14:prstDash w14:val="solid"/>
            <w14:bevel/>
          </w14:textOutline>
        </w:rPr>
        <w:t>decline</w:t>
      </w:r>
      <w:r>
        <w:rPr>
          <w:rFonts w:ascii="Arial" w:hAnsi="Arial" w:cs="Arial Unicode MS"/>
          <w:color w:val="000000"/>
          <w:sz w:val="22"/>
          <w:szCs w:val="22"/>
          <w:u w:color="000000"/>
          <w14:textOutline w14:w="0" w14:cap="flat" w14:cmpd="sng" w14:algn="ctr">
            <w14:noFill/>
            <w14:prstDash w14:val="solid"/>
            <w14:bevel/>
          </w14:textOutline>
        </w:rPr>
        <w:t xml:space="preserve"> or withdraw formal proxy access in the patient’s best interests. </w:t>
      </w:r>
      <w:r w:rsidR="007D24EE">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This guidance will help you decide when and how to allow, </w:t>
      </w:r>
      <w:r w:rsidR="0082305C">
        <w:rPr>
          <w:rFonts w:ascii="Arial" w:hAnsi="Arial" w:cs="Arial Unicode MS"/>
          <w:color w:val="000000"/>
          <w:sz w:val="22"/>
          <w:szCs w:val="22"/>
          <w:u w:color="000000"/>
          <w14:textOutline w14:w="0" w14:cap="flat" w14:cmpd="sng" w14:algn="ctr">
            <w14:noFill/>
            <w14:prstDash w14:val="solid"/>
            <w14:bevel/>
          </w14:textOutline>
        </w:rPr>
        <w:t>decline</w:t>
      </w:r>
      <w:r>
        <w:rPr>
          <w:rFonts w:ascii="Arial" w:hAnsi="Arial" w:cs="Arial Unicode MS"/>
          <w:color w:val="000000"/>
          <w:sz w:val="22"/>
          <w:szCs w:val="22"/>
          <w:u w:color="000000"/>
          <w14:textOutline w14:w="0" w14:cap="flat" w14:cmpd="sng" w14:algn="ctr">
            <w14:noFill/>
            <w14:prstDash w14:val="solid"/>
            <w14:bevel/>
          </w14:textOutline>
        </w:rPr>
        <w:t xml:space="preserve"> or withdraw proxy access.</w:t>
      </w:r>
    </w:p>
    <w:p w14:paraId="6A05A809" w14:textId="77777777" w:rsidR="00225E64" w:rsidRPr="00B10480" w:rsidRDefault="00225E64" w:rsidP="00BD3568">
      <w:pPr>
        <w:spacing w:before="120" w:line="288" w:lineRule="auto"/>
        <w:rPr>
          <w:rFonts w:ascii="Arial" w:eastAsia="Arial" w:hAnsi="Arial" w:cs="Arial"/>
          <w:b/>
          <w:bCs/>
          <w:color w:val="002B5C"/>
          <w:sz w:val="22"/>
          <w:szCs w:val="22"/>
          <w:u w:color="0075B9"/>
          <w14:textOutline w14:w="0" w14:cap="flat" w14:cmpd="sng" w14:algn="ctr">
            <w14:noFill/>
            <w14:prstDash w14:val="solid"/>
            <w14:bevel/>
          </w14:textOutline>
        </w:rPr>
      </w:pPr>
    </w:p>
    <w:p w14:paraId="427D67EB" w14:textId="77777777" w:rsidR="00225E64" w:rsidRPr="00BA608D" w:rsidRDefault="00DC67A3" w:rsidP="00BA608D">
      <w:pPr>
        <w:pStyle w:val="ListParagraph"/>
        <w:numPr>
          <w:ilvl w:val="0"/>
          <w:numId w:val="13"/>
        </w:numPr>
        <w:spacing w:before="120" w:line="288" w:lineRule="auto"/>
        <w:rPr>
          <w:rFonts w:ascii="Lato" w:hAnsi="Lato"/>
          <w:color w:val="000000" w:themeColor="text1"/>
          <w:sz w:val="32"/>
          <w:szCs w:val="32"/>
        </w:rPr>
      </w:pPr>
      <w:r w:rsidRPr="00BA608D">
        <w:rPr>
          <w:rFonts w:ascii="Lato" w:hAnsi="Lato" w:cs="Arial Unicode MS"/>
          <w:color w:val="000000" w:themeColor="text1"/>
          <w:sz w:val="32"/>
          <w:szCs w:val="32"/>
        </w:rPr>
        <w:t>Informal proxy access</w:t>
      </w:r>
    </w:p>
    <w:p w14:paraId="01EC42E9" w14:textId="77777777" w:rsidR="00EC4E86" w:rsidRDefault="007D24EE" w:rsidP="00EC4E86">
      <w:pPr>
        <w:spacing w:before="120" w:line="288" w:lineRule="auto"/>
        <w:rPr>
          <w:rFonts w:ascii="Arial" w:hAnsi="Arial" w:cs="Arial Unicode MS"/>
          <w:color w:val="000000" w:themeColor="text1"/>
          <w:sz w:val="22"/>
          <w:szCs w:val="22"/>
        </w:rPr>
      </w:pPr>
      <w:r>
        <w:rPr>
          <w:rFonts w:ascii="Arial" w:hAnsi="Arial" w:cs="Arial Unicode MS"/>
          <w:color w:val="000000" w:themeColor="text1"/>
          <w:sz w:val="22"/>
          <w:szCs w:val="22"/>
        </w:rPr>
        <w:t>For convenience a</w:t>
      </w:r>
      <w:r w:rsidR="00DC67A3" w:rsidRPr="21E44E53">
        <w:rPr>
          <w:rFonts w:ascii="Arial" w:hAnsi="Arial" w:cs="Arial Unicode MS"/>
          <w:color w:val="000000" w:themeColor="text1"/>
          <w:sz w:val="22"/>
          <w:szCs w:val="22"/>
        </w:rPr>
        <w:t xml:space="preserve"> patient may </w:t>
      </w:r>
      <w:r>
        <w:rPr>
          <w:rFonts w:ascii="Arial" w:hAnsi="Arial" w:cs="Arial Unicode MS"/>
          <w:color w:val="000000" w:themeColor="text1"/>
          <w:sz w:val="22"/>
          <w:szCs w:val="22"/>
        </w:rPr>
        <w:t>decide</w:t>
      </w:r>
      <w:r w:rsidR="00DC67A3" w:rsidRPr="21E44E53">
        <w:rPr>
          <w:rFonts w:ascii="Arial" w:hAnsi="Arial" w:cs="Arial Unicode MS"/>
          <w:color w:val="000000" w:themeColor="text1"/>
          <w:sz w:val="22"/>
          <w:szCs w:val="22"/>
        </w:rPr>
        <w:t xml:space="preserve"> to share their </w:t>
      </w:r>
      <w:r w:rsidR="00EC4E86">
        <w:rPr>
          <w:rFonts w:ascii="Arial" w:hAnsi="Arial" w:cs="Arial Unicode MS"/>
          <w:color w:val="000000" w:themeColor="text1"/>
          <w:sz w:val="22"/>
          <w:szCs w:val="22"/>
        </w:rPr>
        <w:t xml:space="preserve">practice </w:t>
      </w:r>
      <w:r w:rsidR="00DC67A3" w:rsidRPr="21E44E53">
        <w:rPr>
          <w:rFonts w:ascii="Arial" w:hAnsi="Arial" w:cs="Arial Unicode MS"/>
          <w:color w:val="000000" w:themeColor="text1"/>
          <w:sz w:val="22"/>
          <w:szCs w:val="22"/>
        </w:rPr>
        <w:t>login</w:t>
      </w:r>
      <w:r w:rsidR="00EC4E86">
        <w:rPr>
          <w:rFonts w:ascii="Arial" w:hAnsi="Arial" w:cs="Arial Unicode MS"/>
          <w:color w:val="000000" w:themeColor="text1"/>
          <w:sz w:val="22"/>
          <w:szCs w:val="22"/>
        </w:rPr>
        <w:t xml:space="preserve"> credentials</w:t>
      </w:r>
      <w:r w:rsidR="00DC67A3" w:rsidRPr="21E44E53">
        <w:rPr>
          <w:rFonts w:ascii="Arial" w:hAnsi="Arial" w:cs="Arial Unicode MS"/>
          <w:color w:val="000000" w:themeColor="text1"/>
          <w:sz w:val="22"/>
          <w:szCs w:val="22"/>
        </w:rPr>
        <w:t xml:space="preserve"> </w:t>
      </w:r>
      <w:r w:rsidR="00EC4E86">
        <w:rPr>
          <w:rFonts w:ascii="Arial" w:hAnsi="Arial" w:cs="Arial Unicode MS"/>
          <w:color w:val="000000" w:themeColor="text1"/>
          <w:sz w:val="22"/>
          <w:szCs w:val="22"/>
        </w:rPr>
        <w:t>or access to their patient facing services app</w:t>
      </w:r>
      <w:r w:rsidR="00DC67A3" w:rsidRPr="21E44E53">
        <w:rPr>
          <w:rFonts w:ascii="Arial" w:hAnsi="Arial" w:cs="Arial Unicode MS"/>
          <w:color w:val="000000" w:themeColor="text1"/>
          <w:sz w:val="22"/>
          <w:szCs w:val="22"/>
        </w:rPr>
        <w:t xml:space="preserve"> with </w:t>
      </w:r>
      <w:r>
        <w:rPr>
          <w:rFonts w:ascii="Arial" w:hAnsi="Arial" w:cs="Arial Unicode MS"/>
          <w:color w:val="000000" w:themeColor="text1"/>
          <w:sz w:val="22"/>
          <w:szCs w:val="22"/>
        </w:rPr>
        <w:t>a trusted third-party</w:t>
      </w:r>
      <w:r w:rsidR="00DC67A3" w:rsidRPr="21E44E53">
        <w:rPr>
          <w:rFonts w:ascii="Arial" w:hAnsi="Arial" w:cs="Arial Unicode MS"/>
          <w:color w:val="000000" w:themeColor="text1"/>
          <w:sz w:val="22"/>
          <w:szCs w:val="22"/>
        </w:rPr>
        <w:t>.  This is sometimes called informal proxy access.</w:t>
      </w:r>
      <w:r w:rsidR="00EC4E86">
        <w:rPr>
          <w:rFonts w:ascii="Arial" w:hAnsi="Arial" w:cs="Arial Unicode MS"/>
          <w:color w:val="000000" w:themeColor="text1"/>
          <w:sz w:val="22"/>
          <w:szCs w:val="22"/>
        </w:rPr>
        <w:t xml:space="preserve">  This may present</w:t>
      </w:r>
      <w:r w:rsidR="00EC4E86" w:rsidRPr="21E44E53">
        <w:rPr>
          <w:rFonts w:ascii="Arial" w:hAnsi="Arial" w:cs="Arial Unicode MS"/>
          <w:color w:val="000000" w:themeColor="text1"/>
          <w:sz w:val="22"/>
          <w:szCs w:val="22"/>
        </w:rPr>
        <w:t xml:space="preserve"> </w:t>
      </w:r>
      <w:r w:rsidR="00EC4E86">
        <w:rPr>
          <w:rFonts w:ascii="Arial" w:hAnsi="Arial" w:cs="Arial Unicode MS"/>
          <w:color w:val="000000" w:themeColor="text1"/>
          <w:sz w:val="22"/>
          <w:szCs w:val="22"/>
        </w:rPr>
        <w:t>problems for the patient and the practice</w:t>
      </w:r>
      <w:r w:rsidR="00EC4E86" w:rsidRPr="21E44E53">
        <w:rPr>
          <w:rFonts w:ascii="Arial" w:hAnsi="Arial" w:cs="Arial Unicode MS"/>
          <w:color w:val="000000" w:themeColor="text1"/>
          <w:sz w:val="22"/>
          <w:szCs w:val="22"/>
        </w:rPr>
        <w:t xml:space="preserve">.  </w:t>
      </w:r>
    </w:p>
    <w:p w14:paraId="3AD4E5E2" w14:textId="77777777" w:rsidR="00EC4E86" w:rsidRPr="00EC4E86" w:rsidRDefault="00EC4E86" w:rsidP="00EC4E86">
      <w:pPr>
        <w:pStyle w:val="ListParagraph"/>
        <w:numPr>
          <w:ilvl w:val="0"/>
          <w:numId w:val="12"/>
        </w:numPr>
        <w:spacing w:before="60" w:line="288" w:lineRule="auto"/>
        <w:rPr>
          <w:rFonts w:cs="Arial Unicode MS"/>
          <w:color w:val="000000" w:themeColor="text1"/>
        </w:rPr>
      </w:pPr>
      <w:r w:rsidRPr="00EC4E86">
        <w:rPr>
          <w:rFonts w:cs="Arial Unicode MS"/>
          <w:color w:val="000000" w:themeColor="text1"/>
        </w:rPr>
        <w:t xml:space="preserve">There is no audit trail of access by the proxy or anyone else.  </w:t>
      </w:r>
    </w:p>
    <w:p w14:paraId="23F0D2B3" w14:textId="77777777" w:rsidR="00EC4E86" w:rsidRPr="00EC4E86" w:rsidRDefault="00EC4E86" w:rsidP="00EC4E86">
      <w:pPr>
        <w:pStyle w:val="ListParagraph"/>
        <w:numPr>
          <w:ilvl w:val="0"/>
          <w:numId w:val="12"/>
        </w:numPr>
        <w:spacing w:before="60" w:line="288" w:lineRule="auto"/>
        <w:rPr>
          <w:rFonts w:cs="Arial Unicode MS"/>
          <w:color w:val="000000" w:themeColor="text1"/>
        </w:rPr>
      </w:pPr>
      <w:r w:rsidRPr="00EC4E86">
        <w:rPr>
          <w:rFonts w:cs="Arial Unicode MS"/>
          <w:color w:val="000000" w:themeColor="text1"/>
        </w:rPr>
        <w:t xml:space="preserve">The proxy will automatically have the same level of access to the record as the patient, which may not be appropriate.  </w:t>
      </w:r>
    </w:p>
    <w:p w14:paraId="32C95861" w14:textId="22AB0CAC" w:rsidR="00225E64" w:rsidRPr="00EC4E86" w:rsidRDefault="00EC4E86" w:rsidP="00EC4E86">
      <w:pPr>
        <w:pStyle w:val="ListParagraph"/>
        <w:numPr>
          <w:ilvl w:val="0"/>
          <w:numId w:val="12"/>
        </w:numPr>
        <w:spacing w:before="60" w:line="288" w:lineRule="auto"/>
      </w:pPr>
      <w:r w:rsidRPr="00EC4E86">
        <w:rPr>
          <w:rFonts w:cs="Arial Unicode MS"/>
          <w:color w:val="000000" w:themeColor="text1"/>
        </w:rPr>
        <w:t>To withdraw shared access, the practice will have to cancel the patient’s account and provide the patient with a new set of login details, if they want to continue to use the practice online services.</w:t>
      </w:r>
    </w:p>
    <w:p w14:paraId="502D16F6" w14:textId="1958F04B" w:rsidR="00225E64" w:rsidRDefault="00DC67A3" w:rsidP="00BD3568">
      <w:pPr>
        <w:spacing w:before="120" w:line="288" w:lineRule="auto"/>
        <w:rPr>
          <w:rFonts w:ascii="Arial" w:eastAsia="Arial" w:hAnsi="Arial" w:cs="Arial"/>
          <w:color w:val="000000"/>
          <w:sz w:val="22"/>
          <w:szCs w:val="22"/>
          <w14:textOutline w14:w="0" w14:cap="flat" w14:cmpd="sng" w14:algn="ctr">
            <w14:noFill/>
            <w14:prstDash w14:val="solid"/>
            <w14:bevel/>
          </w14:textOutline>
        </w:rPr>
      </w:pPr>
      <w:r w:rsidRPr="0EC5D03A">
        <w:rPr>
          <w:rFonts w:ascii="Arial" w:hAnsi="Arial" w:cs="Arial Unicode MS"/>
          <w:color w:val="000000" w:themeColor="text1"/>
          <w:sz w:val="22"/>
          <w:szCs w:val="22"/>
        </w:rPr>
        <w:t xml:space="preserve">If </w:t>
      </w:r>
      <w:r w:rsidR="00EC4E86" w:rsidRPr="0EC5D03A">
        <w:rPr>
          <w:rFonts w:ascii="Arial" w:hAnsi="Arial" w:cs="Arial Unicode MS"/>
          <w:color w:val="000000" w:themeColor="text1"/>
          <w:sz w:val="22"/>
          <w:szCs w:val="22"/>
        </w:rPr>
        <w:t xml:space="preserve">you </w:t>
      </w:r>
      <w:r w:rsidRPr="0EC5D03A">
        <w:rPr>
          <w:rFonts w:ascii="Arial" w:hAnsi="Arial" w:cs="Arial Unicode MS"/>
          <w:color w:val="000000" w:themeColor="text1"/>
          <w:sz w:val="22"/>
          <w:szCs w:val="22"/>
        </w:rPr>
        <w:t>become aware that a patient is considering this</w:t>
      </w:r>
      <w:r w:rsidR="00EC4E86" w:rsidRPr="0EC5D03A">
        <w:rPr>
          <w:rFonts w:ascii="Arial" w:hAnsi="Arial" w:cs="Arial Unicode MS"/>
          <w:color w:val="000000" w:themeColor="text1"/>
          <w:sz w:val="22"/>
          <w:szCs w:val="22"/>
        </w:rPr>
        <w:t xml:space="preserve">, you </w:t>
      </w:r>
      <w:r w:rsidRPr="0EC5D03A">
        <w:rPr>
          <w:rFonts w:ascii="Arial" w:hAnsi="Arial" w:cs="Arial Unicode MS"/>
          <w:color w:val="000000" w:themeColor="text1"/>
          <w:sz w:val="22"/>
          <w:szCs w:val="22"/>
        </w:rPr>
        <w:t xml:space="preserve">should make sure that they understand the risks in doing so.  If the practice has any suspicion that the patient is being coerced into sharing their access unwillingly or that the proxy may misuse their access, you should consider switching off the </w:t>
      </w:r>
      <w:r w:rsidR="00EC4E86" w:rsidRPr="0EC5D03A">
        <w:rPr>
          <w:rFonts w:ascii="Arial" w:hAnsi="Arial" w:cs="Arial Unicode MS"/>
          <w:color w:val="000000" w:themeColor="text1"/>
          <w:sz w:val="22"/>
          <w:szCs w:val="22"/>
        </w:rPr>
        <w:t>p</w:t>
      </w:r>
      <w:r w:rsidRPr="0EC5D03A">
        <w:rPr>
          <w:rFonts w:ascii="Arial" w:hAnsi="Arial" w:cs="Arial Unicode MS"/>
          <w:color w:val="000000" w:themeColor="text1"/>
          <w:sz w:val="22"/>
          <w:szCs w:val="22"/>
        </w:rPr>
        <w:t xml:space="preserve">atient’s </w:t>
      </w:r>
      <w:r w:rsidR="00EC4E86" w:rsidRPr="0EC5D03A">
        <w:rPr>
          <w:rFonts w:ascii="Arial" w:hAnsi="Arial" w:cs="Arial Unicode MS"/>
          <w:color w:val="000000" w:themeColor="text1"/>
          <w:sz w:val="22"/>
          <w:szCs w:val="22"/>
        </w:rPr>
        <w:t xml:space="preserve">GP </w:t>
      </w:r>
      <w:r w:rsidRPr="0EC5D03A">
        <w:rPr>
          <w:rFonts w:ascii="Arial" w:hAnsi="Arial" w:cs="Arial Unicode MS"/>
          <w:color w:val="000000" w:themeColor="text1"/>
          <w:sz w:val="22"/>
          <w:szCs w:val="22"/>
        </w:rPr>
        <w:t>o</w:t>
      </w:r>
      <w:r w:rsidR="00EC4E86" w:rsidRPr="0EC5D03A">
        <w:rPr>
          <w:rFonts w:ascii="Arial" w:hAnsi="Arial" w:cs="Arial Unicode MS"/>
          <w:color w:val="000000" w:themeColor="text1"/>
          <w:sz w:val="22"/>
          <w:szCs w:val="22"/>
        </w:rPr>
        <w:t>nline</w:t>
      </w:r>
      <w:r w:rsidRPr="0EC5D03A">
        <w:rPr>
          <w:rFonts w:ascii="Arial" w:hAnsi="Arial" w:cs="Arial Unicode MS"/>
          <w:color w:val="000000" w:themeColor="text1"/>
          <w:sz w:val="22"/>
          <w:szCs w:val="22"/>
        </w:rPr>
        <w:t xml:space="preserve"> s</w:t>
      </w:r>
      <w:r w:rsidR="00EC4E86" w:rsidRPr="0EC5D03A">
        <w:rPr>
          <w:rFonts w:ascii="Arial" w:hAnsi="Arial" w:cs="Arial Unicode MS"/>
          <w:color w:val="000000" w:themeColor="text1"/>
          <w:sz w:val="22"/>
          <w:szCs w:val="22"/>
        </w:rPr>
        <w:t xml:space="preserve">ervices </w:t>
      </w:r>
      <w:r w:rsidRPr="0EC5D03A">
        <w:rPr>
          <w:rFonts w:ascii="Arial" w:hAnsi="Arial" w:cs="Arial Unicode MS"/>
          <w:color w:val="000000" w:themeColor="text1"/>
          <w:sz w:val="22"/>
          <w:szCs w:val="22"/>
        </w:rPr>
        <w:t>account until the circumstances can be clarified.</w:t>
      </w:r>
    </w:p>
    <w:p w14:paraId="31CFCAE4" w14:textId="77777777" w:rsidR="00225E64" w:rsidRPr="00035F0F" w:rsidRDefault="00DC67A3" w:rsidP="00BD3568">
      <w:pPr>
        <w:spacing w:before="120" w:line="288" w:lineRule="auto"/>
        <w:rPr>
          <w:rFonts w:ascii="Arial" w:eastAsia="Arial" w:hAnsi="Arial" w:cs="Arial"/>
          <w:b/>
          <w:bCs/>
          <w:color w:val="000000"/>
          <w:sz w:val="22"/>
          <w:szCs w:val="22"/>
          <w14:textOutline w14:w="0" w14:cap="flat" w14:cmpd="sng" w14:algn="ctr">
            <w14:noFill/>
            <w14:prstDash w14:val="solid"/>
            <w14:bevel/>
          </w14:textOutline>
        </w:rPr>
      </w:pPr>
      <w:r w:rsidRPr="21E44E53">
        <w:rPr>
          <w:rFonts w:ascii="Arial" w:hAnsi="Arial" w:cs="Arial Unicode MS"/>
          <w:b/>
          <w:bCs/>
          <w:color w:val="000000" w:themeColor="text1"/>
          <w:sz w:val="22"/>
          <w:szCs w:val="22"/>
        </w:rPr>
        <w:t xml:space="preserve">It is better for patients if anyone acting as their proxy has their own formal login credentials and a level of access </w:t>
      </w:r>
      <w:proofErr w:type="spellStart"/>
      <w:r w:rsidRPr="21E44E53">
        <w:rPr>
          <w:rFonts w:ascii="Arial" w:hAnsi="Arial" w:cs="Arial Unicode MS"/>
          <w:b/>
          <w:bCs/>
          <w:color w:val="000000" w:themeColor="text1"/>
          <w:sz w:val="22"/>
          <w:szCs w:val="22"/>
        </w:rPr>
        <w:t>customised</w:t>
      </w:r>
      <w:proofErr w:type="spellEnd"/>
      <w:r w:rsidRPr="21E44E53">
        <w:rPr>
          <w:rFonts w:ascii="Arial" w:hAnsi="Arial" w:cs="Arial Unicode MS"/>
          <w:b/>
          <w:bCs/>
          <w:color w:val="000000" w:themeColor="text1"/>
          <w:sz w:val="22"/>
          <w:szCs w:val="22"/>
        </w:rPr>
        <w:t xml:space="preserve"> to meet the patient’s wishes.</w:t>
      </w:r>
    </w:p>
    <w:p w14:paraId="5A39BBE3" w14:textId="77777777" w:rsidR="00225E64" w:rsidRPr="00EC4E86" w:rsidRDefault="00225E64" w:rsidP="00BD3568">
      <w:pPr>
        <w:spacing w:before="120" w:line="288" w:lineRule="auto"/>
        <w:rPr>
          <w:rFonts w:ascii="Arial" w:eastAsia="Arial" w:hAnsi="Arial" w:cs="Arial"/>
          <w:b/>
          <w:bCs/>
          <w:color w:val="002B5C"/>
          <w:sz w:val="22"/>
          <w:szCs w:val="22"/>
          <w:u w:color="0075B9"/>
          <w14:textOutline w14:w="0" w14:cap="flat" w14:cmpd="sng" w14:algn="ctr">
            <w14:noFill/>
            <w14:prstDash w14:val="solid"/>
            <w14:bevel/>
          </w14:textOutline>
        </w:rPr>
      </w:pPr>
    </w:p>
    <w:p w14:paraId="13038A9E" w14:textId="77777777" w:rsidR="002B7E89" w:rsidRDefault="002B7E89" w:rsidP="00BD3568">
      <w:pPr>
        <w:spacing w:before="120" w:line="288" w:lineRule="auto"/>
        <w:rPr>
          <w:rFonts w:ascii="Lato" w:hAnsi="Lato" w:cs="Arial Unicode MS"/>
          <w:color w:val="000000" w:themeColor="text1"/>
          <w:sz w:val="32"/>
          <w:szCs w:val="32"/>
          <w14:textOutline w14:w="0" w14:cap="flat" w14:cmpd="sng" w14:algn="ctr">
            <w14:noFill/>
            <w14:prstDash w14:val="solid"/>
            <w14:bevel/>
          </w14:textOutline>
        </w:rPr>
      </w:pPr>
    </w:p>
    <w:p w14:paraId="570B5B2B" w14:textId="6670DE0D" w:rsidR="00225E64" w:rsidRPr="002B7E89" w:rsidRDefault="00DC67A3" w:rsidP="002B7E89">
      <w:pPr>
        <w:pStyle w:val="ListParagraph"/>
        <w:numPr>
          <w:ilvl w:val="0"/>
          <w:numId w:val="13"/>
        </w:numPr>
        <w:spacing w:before="120" w:line="288" w:lineRule="auto"/>
        <w:rPr>
          <w:rFonts w:ascii="Lato" w:hAnsi="Lato"/>
          <w:color w:val="000000" w:themeColor="text1"/>
          <w:sz w:val="32"/>
          <w:szCs w:val="32"/>
        </w:rPr>
      </w:pPr>
      <w:r w:rsidRPr="002B7E89">
        <w:rPr>
          <w:rFonts w:ascii="Lato" w:hAnsi="Lato" w:cs="Arial Unicode MS"/>
          <w:color w:val="000000" w:themeColor="text1"/>
          <w:sz w:val="32"/>
          <w:szCs w:val="32"/>
        </w:rPr>
        <w:lastRenderedPageBreak/>
        <w:t xml:space="preserve">Signing up a proxy for </w:t>
      </w:r>
      <w:r w:rsidR="00343AC5" w:rsidRPr="002B7E89">
        <w:rPr>
          <w:rFonts w:ascii="Lato" w:hAnsi="Lato" w:cs="Arial Unicode MS"/>
          <w:color w:val="000000" w:themeColor="text1"/>
          <w:sz w:val="32"/>
          <w:szCs w:val="32"/>
        </w:rPr>
        <w:t>GP Online Services</w:t>
      </w:r>
    </w:p>
    <w:p w14:paraId="62D63282" w14:textId="77777777"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Before providing proxy access login credentials to anyone, </w:t>
      </w:r>
      <w:proofErr w:type="spellStart"/>
      <w:r>
        <w:rPr>
          <w:rFonts w:ascii="Arial" w:hAnsi="Arial" w:cs="Arial Unicode MS"/>
          <w:color w:val="000000"/>
          <w:sz w:val="22"/>
          <w:szCs w:val="22"/>
          <w:u w:color="000000"/>
          <w14:textOutline w14:w="0" w14:cap="flat" w14:cmpd="sng" w14:algn="ctr">
            <w14:noFill/>
            <w14:prstDash w14:val="solid"/>
            <w14:bevel/>
          </w14:textOutline>
        </w:rPr>
        <w:t>authorised</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members of the practice team must: </w:t>
      </w:r>
    </w:p>
    <w:p w14:paraId="686E8521" w14:textId="198A8E77" w:rsidR="00975738" w:rsidRPr="00975738" w:rsidRDefault="00975738" w:rsidP="00975738">
      <w:pPr>
        <w:numPr>
          <w:ilvl w:val="0"/>
          <w:numId w:val="2"/>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sidRPr="0030521F">
        <w:rPr>
          <w:rFonts w:ascii="Arial" w:hAnsi="Arial" w:cs="Arial Unicode MS"/>
          <w:b/>
          <w:bCs/>
          <w:color w:val="000000"/>
          <w:sz w:val="22"/>
          <w:szCs w:val="22"/>
          <w14:textOutline w14:w="0" w14:cap="flat" w14:cmpd="sng" w14:algn="ctr">
            <w14:noFill/>
            <w14:prstDash w14:val="solid"/>
            <w14:bevel/>
          </w14:textOutline>
        </w:rPr>
        <w:t xml:space="preserve">Verify the identity </w:t>
      </w:r>
      <w:r>
        <w:rPr>
          <w:rFonts w:ascii="Arial" w:hAnsi="Arial" w:cs="Arial Unicode MS"/>
          <w:color w:val="000000"/>
          <w:sz w:val="22"/>
          <w:szCs w:val="22"/>
          <w14:textOutline w14:w="0" w14:cap="flat" w14:cmpd="sng" w14:algn="ctr">
            <w14:noFill/>
            <w14:prstDash w14:val="solid"/>
            <w14:bevel/>
          </w14:textOutline>
        </w:rPr>
        <w:t xml:space="preserve">of the </w:t>
      </w:r>
      <w:r w:rsidR="00B26449">
        <w:rPr>
          <w:rFonts w:ascii="Arial" w:hAnsi="Arial" w:cs="Arial Unicode MS"/>
          <w:color w:val="000000"/>
          <w:sz w:val="22"/>
          <w:szCs w:val="22"/>
          <w14:textOutline w14:w="0" w14:cap="flat" w14:cmpd="sng" w14:algn="ctr">
            <w14:noFill/>
            <w14:prstDash w14:val="solid"/>
            <w14:bevel/>
          </w14:textOutline>
        </w:rPr>
        <w:t>patient giving consent to proxy access and the third-party</w:t>
      </w:r>
      <w:r>
        <w:rPr>
          <w:rFonts w:ascii="Arial" w:hAnsi="Arial" w:cs="Arial Unicode MS"/>
          <w:color w:val="000000"/>
          <w:sz w:val="22"/>
          <w:szCs w:val="22"/>
          <w14:textOutline w14:w="0" w14:cap="flat" w14:cmpd="sng" w14:algn="ctr">
            <w14:noFill/>
            <w14:prstDash w14:val="solid"/>
            <w14:bevel/>
          </w14:textOutline>
        </w:rPr>
        <w:t xml:space="preserve"> who is </w:t>
      </w:r>
      <w:r w:rsidR="00B26449">
        <w:rPr>
          <w:rFonts w:ascii="Arial" w:hAnsi="Arial" w:cs="Arial Unicode MS"/>
          <w:color w:val="000000"/>
          <w:sz w:val="22"/>
          <w:szCs w:val="22"/>
          <w14:textOutline w14:w="0" w14:cap="flat" w14:cmpd="sng" w14:algn="ctr">
            <w14:noFill/>
            <w14:prstDash w14:val="solid"/>
            <w14:bevel/>
          </w14:textOutline>
        </w:rPr>
        <w:t>seeking</w:t>
      </w:r>
      <w:r>
        <w:rPr>
          <w:rFonts w:ascii="Arial" w:hAnsi="Arial" w:cs="Arial Unicode MS"/>
          <w:color w:val="000000"/>
          <w:sz w:val="22"/>
          <w:szCs w:val="22"/>
          <w14:textOutline w14:w="0" w14:cap="flat" w14:cmpd="sng" w14:algn="ctr">
            <w14:noFill/>
            <w14:prstDash w14:val="solid"/>
            <w14:bevel/>
          </w14:textOutline>
        </w:rPr>
        <w:t xml:space="preserve"> proxy access</w:t>
      </w:r>
    </w:p>
    <w:p w14:paraId="6725BEE6" w14:textId="77777777" w:rsidR="00F84D1F" w:rsidRPr="00F84D1F" w:rsidRDefault="00F84D1F" w:rsidP="00F84D1F">
      <w:pPr>
        <w:pStyle w:val="ListParagraph"/>
        <w:numPr>
          <w:ilvl w:val="0"/>
          <w:numId w:val="2"/>
        </w:numPr>
        <w:spacing w:before="60" w:line="288" w:lineRule="auto"/>
        <w:rPr>
          <w:rFonts w:cs="Arial Unicode MS"/>
        </w:rPr>
      </w:pPr>
      <w:r w:rsidRPr="00F84D1F">
        <w:rPr>
          <w:rFonts w:cs="Arial Unicode MS"/>
        </w:rPr>
        <w:t xml:space="preserve">Confirm that the patient has given </w:t>
      </w:r>
      <w:r w:rsidRPr="00F84D1F">
        <w:rPr>
          <w:rFonts w:cs="Arial Unicode MS"/>
          <w:b/>
          <w:bCs/>
        </w:rPr>
        <w:t>informed consent</w:t>
      </w:r>
      <w:r w:rsidRPr="00F84D1F">
        <w:rPr>
          <w:rFonts w:cs="Arial Unicode MS"/>
        </w:rPr>
        <w:t xml:space="preserve"> have access to their online services to the proxy, or where the patient is not able to consent, there is another legal justification for providing proxy access</w:t>
      </w:r>
    </w:p>
    <w:p w14:paraId="5BE4062A" w14:textId="77777777" w:rsidR="00225E64" w:rsidRDefault="00DC67A3" w:rsidP="00975738">
      <w:pPr>
        <w:numPr>
          <w:ilvl w:val="0"/>
          <w:numId w:val="2"/>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Establish the level of access that the patient wants the proxy to have, where your system allows a choice</w:t>
      </w:r>
    </w:p>
    <w:p w14:paraId="267D1857" w14:textId="7920D4B1" w:rsidR="00225E64" w:rsidRDefault="3C88EF7B" w:rsidP="00975738">
      <w:pPr>
        <w:numPr>
          <w:ilvl w:val="0"/>
          <w:numId w:val="2"/>
        </w:numPr>
        <w:spacing w:before="60" w:line="288" w:lineRule="auto"/>
        <w:ind w:left="714" w:hanging="357"/>
        <w:rPr>
          <w:rFonts w:ascii="Arial" w:eastAsia="Arial" w:hAnsi="Arial" w:cs="Arial"/>
          <w:color w:val="333333"/>
          <w:sz w:val="22"/>
          <w:szCs w:val="22"/>
          <w14:textOutline w14:w="0" w14:cap="flat" w14:cmpd="sng" w14:algn="ctr">
            <w14:noFill/>
            <w14:prstDash w14:val="solid"/>
            <w14:bevel/>
          </w14:textOutline>
        </w:rPr>
      </w:pPr>
      <w:r w:rsidRPr="66B90E97">
        <w:rPr>
          <w:rFonts w:ascii="Arial" w:eastAsia="Arial" w:hAnsi="Arial" w:cs="Arial"/>
          <w:color w:val="333333"/>
          <w:sz w:val="22"/>
          <w:szCs w:val="22"/>
        </w:rPr>
        <w:t xml:space="preserve">Seek assurance that the patient is not being coerced to agree to proxy access unwillingly. Consider withholding proxy access until suspicions are investigated and </w:t>
      </w:r>
      <w:r w:rsidR="0030521F">
        <w:rPr>
          <w:rFonts w:ascii="Arial" w:eastAsia="Arial" w:hAnsi="Arial" w:cs="Arial"/>
          <w:color w:val="333333"/>
          <w:sz w:val="22"/>
          <w:szCs w:val="22"/>
        </w:rPr>
        <w:t xml:space="preserve">the </w:t>
      </w:r>
      <w:r w:rsidRPr="66B90E97">
        <w:rPr>
          <w:rFonts w:ascii="Arial" w:eastAsia="Arial" w:hAnsi="Arial" w:cs="Arial"/>
          <w:color w:val="333333"/>
          <w:sz w:val="22"/>
          <w:szCs w:val="22"/>
        </w:rPr>
        <w:t>outcome known.</w:t>
      </w:r>
    </w:p>
    <w:p w14:paraId="0D31AA2F" w14:textId="01E83D66" w:rsidR="00225E64" w:rsidRDefault="6477FABE" w:rsidP="00975738">
      <w:pPr>
        <w:numPr>
          <w:ilvl w:val="0"/>
          <w:numId w:val="2"/>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Obtain a completed proxy access consent form from the patient when it is appropriate</w:t>
      </w:r>
      <w:r w:rsidR="0A45F40D">
        <w:rPr>
          <w:rFonts w:ascii="Arial" w:hAnsi="Arial" w:cs="Arial Unicode MS"/>
          <w:color w:val="000000"/>
          <w:sz w:val="22"/>
          <w:szCs w:val="22"/>
          <w14:textOutline w14:w="0" w14:cap="flat" w14:cmpd="sng" w14:algn="ctr">
            <w14:noFill/>
            <w14:prstDash w14:val="solid"/>
            <w14:bevel/>
          </w14:textOutline>
        </w:rPr>
        <w:t>.  There is a template consent form for this in the Toolkit</w:t>
      </w:r>
    </w:p>
    <w:p w14:paraId="5DF52652" w14:textId="77777777" w:rsidR="00225E64" w:rsidRDefault="6477FABE" w:rsidP="00975738">
      <w:pPr>
        <w:numPr>
          <w:ilvl w:val="0"/>
          <w:numId w:val="2"/>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 xml:space="preserve">Obtain </w:t>
      </w:r>
      <w:proofErr w:type="spellStart"/>
      <w:r>
        <w:rPr>
          <w:rFonts w:ascii="Arial" w:hAnsi="Arial" w:cs="Arial Unicode MS"/>
          <w:color w:val="000000"/>
          <w:sz w:val="22"/>
          <w:szCs w:val="22"/>
          <w14:textOutline w14:w="0" w14:cap="flat" w14:cmpd="sng" w14:algn="ctr">
            <w14:noFill/>
            <w14:prstDash w14:val="solid"/>
            <w14:bevel/>
          </w14:textOutline>
        </w:rPr>
        <w:t>authorisation</w:t>
      </w:r>
      <w:proofErr w:type="spellEnd"/>
      <w:r>
        <w:rPr>
          <w:rFonts w:ascii="Arial" w:hAnsi="Arial" w:cs="Arial Unicode MS"/>
          <w:color w:val="000000"/>
          <w:sz w:val="22"/>
          <w:szCs w:val="22"/>
          <w14:textOutline w14:w="0" w14:cap="flat" w14:cmpd="sng" w14:algn="ctr">
            <w14:noFill/>
            <w14:prstDash w14:val="solid"/>
            <w14:bevel/>
          </w14:textOutline>
        </w:rPr>
        <w:t xml:space="preserve"> from a senior clinician for the proxy to have access to the record</w:t>
      </w:r>
    </w:p>
    <w:p w14:paraId="6BDE77BB" w14:textId="33FF133B" w:rsidR="00225E64" w:rsidRDefault="6477FABE" w:rsidP="00975738">
      <w:pPr>
        <w:numPr>
          <w:ilvl w:val="0"/>
          <w:numId w:val="2"/>
        </w:numPr>
        <w:spacing w:before="60" w:line="288" w:lineRule="auto"/>
        <w:ind w:left="714" w:hanging="357"/>
        <w:rPr>
          <w:rFonts w:ascii="Arial" w:hAnsi="Arial" w:cs="Arial Unicode MS"/>
          <w:color w:val="000000"/>
          <w:sz w:val="22"/>
          <w:szCs w:val="22"/>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Ensure that the proxy understands how to maintain the privacy and security of the patient’s records and how and when to discuss with the practice anything in the record that worries them</w:t>
      </w:r>
    </w:p>
    <w:p w14:paraId="5B917DE6" w14:textId="6798FA5F" w:rsidR="00AA1903" w:rsidRPr="00AA1903" w:rsidRDefault="00AA1903" w:rsidP="00AA1903">
      <w:pPr>
        <w:pStyle w:val="ListParagraph"/>
        <w:numPr>
          <w:ilvl w:val="0"/>
          <w:numId w:val="2"/>
        </w:numPr>
        <w:spacing w:before="60" w:line="288" w:lineRule="auto"/>
        <w:rPr>
          <w:color w:val="333333"/>
          <w:lang w:val="en-GB"/>
        </w:rPr>
      </w:pPr>
      <w:r w:rsidRPr="00AA1903">
        <w:rPr>
          <w:lang w:val="en-GB"/>
        </w:rPr>
        <w:t xml:space="preserve">Clinically assure and check with the patient that the record contains no potentially harmful information or confidential third-party information to which the proxy should not have access </w:t>
      </w:r>
    </w:p>
    <w:p w14:paraId="47AF704E" w14:textId="3D0FCC56" w:rsidR="0030521F" w:rsidRPr="0030521F" w:rsidRDefault="0030521F" w:rsidP="0030521F">
      <w:pPr>
        <w:pStyle w:val="ListParagraph"/>
        <w:numPr>
          <w:ilvl w:val="0"/>
          <w:numId w:val="2"/>
        </w:numPr>
        <w:spacing w:before="120" w:line="288" w:lineRule="auto"/>
      </w:pPr>
      <w:r>
        <w:rPr>
          <w:rFonts w:cs="Arial Unicode MS"/>
        </w:rPr>
        <w:t>Th</w:t>
      </w:r>
      <w:r w:rsidRPr="0030521F">
        <w:rPr>
          <w:rFonts w:cs="Arial Unicode MS"/>
        </w:rPr>
        <w:t xml:space="preserve">e identity of the practice team members </w:t>
      </w:r>
      <w:proofErr w:type="spellStart"/>
      <w:r w:rsidRPr="0030521F">
        <w:rPr>
          <w:rFonts w:cs="Arial Unicode MS"/>
        </w:rPr>
        <w:t>authorising</w:t>
      </w:r>
      <w:proofErr w:type="spellEnd"/>
      <w:r w:rsidRPr="0030521F">
        <w:rPr>
          <w:rFonts w:cs="Arial Unicode MS"/>
        </w:rPr>
        <w:t xml:space="preserve"> access, the level of access given to the proxy, the legal justification for proxy access and the completed consent form should all be added to the patient’s record.</w:t>
      </w:r>
    </w:p>
    <w:p w14:paraId="6BF8ED3F" w14:textId="37896E5F" w:rsidR="00225E64" w:rsidRPr="001A79D5" w:rsidRDefault="00C71478" w:rsidP="00BD3568">
      <w:pPr>
        <w:spacing w:before="120" w:line="288" w:lineRule="auto"/>
        <w:rPr>
          <w:rFonts w:ascii="Arial" w:eastAsia="Arial" w:hAnsi="Arial" w:cs="Arial"/>
          <w:sz w:val="22"/>
          <w:szCs w:val="22"/>
          <w14:textOutline w14:w="0" w14:cap="flat" w14:cmpd="sng" w14:algn="ctr">
            <w14:noFill/>
            <w14:prstDash w14:val="solid"/>
            <w14:bevel/>
          </w14:textOutline>
        </w:rPr>
      </w:pPr>
      <w:proofErr w:type="spellStart"/>
      <w:r w:rsidRPr="00C71478">
        <w:rPr>
          <w:rFonts w:ascii="Webdings" w:hAnsi="Webdings" w:cs="Arial Unicode MS"/>
          <w:color w:val="00B050"/>
          <w:sz w:val="22"/>
          <w:szCs w:val="22"/>
          <w14:textOutline w14:w="0" w14:cap="flat" w14:cmpd="sng" w14:algn="ctr">
            <w14:noFill/>
            <w14:prstDash w14:val="solid"/>
            <w14:bevel/>
          </w14:textOutline>
        </w:rPr>
        <w:t>i</w:t>
      </w:r>
      <w:proofErr w:type="spellEnd"/>
      <w:r w:rsidR="6CB2F8F4" w:rsidRPr="007B7C2A">
        <w:rPr>
          <w:rFonts w:ascii="Arial" w:hAnsi="Arial" w:cs="Arial Unicode MS"/>
          <w:color w:val="00B050"/>
          <w:sz w:val="22"/>
          <w:szCs w:val="22"/>
          <w14:textOutline w14:w="0" w14:cap="flat" w14:cmpd="sng" w14:algn="ctr">
            <w14:noFill/>
            <w14:prstDash w14:val="solid"/>
            <w14:bevel/>
          </w14:textOutline>
        </w:rPr>
        <w:t xml:space="preserve"> </w:t>
      </w:r>
      <w:r w:rsidR="6477FABE" w:rsidRPr="001A79D5">
        <w:rPr>
          <w:rFonts w:ascii="Arial" w:hAnsi="Arial" w:cs="Arial Unicode MS"/>
          <w:sz w:val="22"/>
          <w:szCs w:val="22"/>
          <w14:textOutline w14:w="0" w14:cap="flat" w14:cmpd="sng" w14:algn="ctr">
            <w14:noFill/>
            <w14:prstDash w14:val="solid"/>
            <w14:bevel/>
          </w14:textOutline>
        </w:rPr>
        <w:t xml:space="preserve">There is more information about these processes in the </w:t>
      </w:r>
      <w:r w:rsidR="6CB2F8F4" w:rsidRPr="001A79D5">
        <w:rPr>
          <w:rFonts w:ascii="Arial" w:hAnsi="Arial" w:cs="Arial Unicode MS"/>
          <w:sz w:val="22"/>
          <w:szCs w:val="22"/>
          <w14:textOutline w14:w="0" w14:cap="flat" w14:cmpd="sng" w14:algn="ctr">
            <w14:noFill/>
            <w14:prstDash w14:val="solid"/>
            <w14:bevel/>
          </w14:textOutline>
        </w:rPr>
        <w:t>“</w:t>
      </w:r>
      <w:hyperlink r:id="rId13" w:history="1">
        <w:r w:rsidR="6477FABE" w:rsidRPr="001A79D5">
          <w:rPr>
            <w:rStyle w:val="Hyperlink"/>
            <w:rFonts w:ascii="Arial" w:hAnsi="Arial" w:cs="Arial Unicode MS"/>
            <w:sz w:val="22"/>
            <w:szCs w:val="22"/>
            <w14:textOutline w14:w="0" w14:cap="flat" w14:cmpd="sng" w14:algn="ctr">
              <w14:noFill/>
              <w14:prstDash w14:val="solid"/>
              <w14:bevel/>
            </w14:textOutline>
          </w:rPr>
          <w:t>Coercion</w:t>
        </w:r>
      </w:hyperlink>
      <w:r w:rsidR="6CB2F8F4" w:rsidRPr="001A79D5">
        <w:rPr>
          <w:rFonts w:ascii="Arial" w:hAnsi="Arial" w:cs="Arial Unicode MS"/>
          <w:sz w:val="22"/>
          <w:szCs w:val="22"/>
          <w14:textOutline w14:w="0" w14:cap="flat" w14:cmpd="sng" w14:algn="ctr">
            <w14:noFill/>
            <w14:prstDash w14:val="solid"/>
            <w14:bevel/>
          </w14:textOutline>
        </w:rPr>
        <w:t>”</w:t>
      </w:r>
      <w:r w:rsidR="003C1A1D" w:rsidRPr="001A79D5" w:rsidDel="6477FABE">
        <w:rPr>
          <w:rFonts w:ascii="Arial" w:hAnsi="Arial" w:cs="Arial Unicode MS"/>
          <w:sz w:val="22"/>
          <w:szCs w:val="22"/>
        </w:rPr>
        <w:t xml:space="preserve">, </w:t>
      </w:r>
      <w:r w:rsidR="003C1A1D" w:rsidRPr="001A79D5" w:rsidDel="6CB2F8F4">
        <w:rPr>
          <w:rFonts w:ascii="Arial" w:hAnsi="Arial" w:cs="Arial Unicode MS"/>
          <w:sz w:val="22"/>
          <w:szCs w:val="22"/>
        </w:rPr>
        <w:t>“</w:t>
      </w:r>
      <w:hyperlink r:id="rId14" w:history="1">
        <w:r w:rsidR="003C1A1D" w:rsidRPr="001A79D5" w:rsidDel="6477FABE">
          <w:rPr>
            <w:rStyle w:val="Hyperlink"/>
            <w:rFonts w:ascii="Arial" w:hAnsi="Arial" w:cs="Arial Unicode MS"/>
            <w:sz w:val="22"/>
            <w:szCs w:val="22"/>
          </w:rPr>
          <w:t xml:space="preserve">Safeguarding and </w:t>
        </w:r>
        <w:r w:rsidR="003C1A1D" w:rsidRPr="001A79D5" w:rsidDel="6CB2F8F4">
          <w:rPr>
            <w:rStyle w:val="Hyperlink"/>
            <w:rFonts w:ascii="Arial" w:hAnsi="Arial" w:cs="Arial Unicode MS"/>
            <w:sz w:val="22"/>
            <w:szCs w:val="22"/>
          </w:rPr>
          <w:t>Automatic Record Access</w:t>
        </w:r>
      </w:hyperlink>
      <w:r w:rsidR="003C1A1D" w:rsidRPr="001A79D5" w:rsidDel="6CB2F8F4">
        <w:rPr>
          <w:rFonts w:ascii="Arial" w:hAnsi="Arial" w:cs="Arial Unicode MS"/>
          <w:sz w:val="22"/>
          <w:szCs w:val="22"/>
        </w:rPr>
        <w:t>”</w:t>
      </w:r>
      <w:r w:rsidR="003C1A1D" w:rsidRPr="001A79D5" w:rsidDel="6477FABE">
        <w:rPr>
          <w:rFonts w:ascii="Arial" w:hAnsi="Arial" w:cs="Arial Unicode MS"/>
          <w:sz w:val="22"/>
          <w:szCs w:val="22"/>
        </w:rPr>
        <w:t xml:space="preserve">, and </w:t>
      </w:r>
      <w:r w:rsidR="003C1A1D" w:rsidRPr="001A79D5" w:rsidDel="6CB2F8F4">
        <w:rPr>
          <w:rFonts w:ascii="Arial" w:hAnsi="Arial" w:cs="Arial Unicode MS"/>
          <w:sz w:val="22"/>
          <w:szCs w:val="22"/>
        </w:rPr>
        <w:t>“</w:t>
      </w:r>
      <w:hyperlink r:id="rId15" w:history="1">
        <w:r w:rsidR="003C1A1D" w:rsidRPr="001A79D5" w:rsidDel="6477FABE">
          <w:rPr>
            <w:rStyle w:val="Hyperlink"/>
            <w:rFonts w:ascii="Arial" w:hAnsi="Arial" w:cs="Arial Unicode MS"/>
            <w:sz w:val="22"/>
            <w:szCs w:val="22"/>
          </w:rPr>
          <w:t>Identity Verification</w:t>
        </w:r>
      </w:hyperlink>
      <w:r w:rsidR="003C1A1D" w:rsidRPr="001A79D5" w:rsidDel="6CB2F8F4">
        <w:rPr>
          <w:rFonts w:ascii="Arial" w:hAnsi="Arial" w:cs="Arial Unicode MS"/>
          <w:sz w:val="22"/>
          <w:szCs w:val="22"/>
        </w:rPr>
        <w:t>”</w:t>
      </w:r>
      <w:r w:rsidR="6477FABE" w:rsidRPr="001A79D5">
        <w:rPr>
          <w:rFonts w:ascii="Arial" w:hAnsi="Arial" w:cs="Arial Unicode MS"/>
          <w:sz w:val="22"/>
          <w:szCs w:val="22"/>
          <w14:textOutline w14:w="0" w14:cap="flat" w14:cmpd="sng" w14:algn="ctr">
            <w14:noFill/>
            <w14:prstDash w14:val="solid"/>
            <w14:bevel/>
          </w14:textOutline>
        </w:rPr>
        <w:t xml:space="preserve"> guidance in the Toolkit.</w:t>
      </w:r>
    </w:p>
    <w:p w14:paraId="3B1CF78D" w14:textId="11C46270" w:rsidR="00225E64" w:rsidRPr="007B7C2A" w:rsidRDefault="00C71478" w:rsidP="00BD3568">
      <w:pPr>
        <w:spacing w:before="120" w:line="288" w:lineRule="auto"/>
        <w:rPr>
          <w:rFonts w:ascii="Arial" w:eastAsia="Arial" w:hAnsi="Arial" w:cs="Arial"/>
          <w:color w:val="00B050"/>
          <w:sz w:val="22"/>
          <w:szCs w:val="22"/>
          <w14:textOutline w14:w="0" w14:cap="flat" w14:cmpd="sng" w14:algn="ctr">
            <w14:noFill/>
            <w14:prstDash w14:val="solid"/>
            <w14:bevel/>
          </w14:textOutline>
        </w:rPr>
      </w:pPr>
      <w:proofErr w:type="spellStart"/>
      <w:r w:rsidRPr="00C71478">
        <w:rPr>
          <w:rFonts w:ascii="Webdings" w:hAnsi="Webdings" w:cs="Arial Unicode MS"/>
          <w:color w:val="00B050"/>
          <w:sz w:val="22"/>
          <w:szCs w:val="22"/>
          <w14:textOutline w14:w="0" w14:cap="flat" w14:cmpd="sng" w14:algn="ctr">
            <w14:noFill/>
            <w14:prstDash w14:val="solid"/>
            <w14:bevel/>
          </w14:textOutline>
        </w:rPr>
        <w:t>i</w:t>
      </w:r>
      <w:proofErr w:type="spellEnd"/>
      <w:r>
        <w:rPr>
          <w:rFonts w:ascii="Arial" w:hAnsi="Arial" w:cs="Arial Unicode MS"/>
          <w:color w:val="00B050"/>
          <w:sz w:val="22"/>
          <w:szCs w:val="22"/>
          <w14:textOutline w14:w="0" w14:cap="flat" w14:cmpd="sng" w14:algn="ctr">
            <w14:noFill/>
            <w14:prstDash w14:val="solid"/>
            <w14:bevel/>
          </w14:textOutline>
        </w:rPr>
        <w:t xml:space="preserve"> </w:t>
      </w:r>
      <w:r w:rsidR="6477FABE" w:rsidRPr="001A79D5">
        <w:rPr>
          <w:rFonts w:ascii="Arial" w:hAnsi="Arial" w:cs="Arial Unicode MS"/>
          <w:sz w:val="22"/>
          <w:szCs w:val="22"/>
          <w14:textOutline w14:w="0" w14:cap="flat" w14:cmpd="sng" w14:algn="ctr">
            <w14:noFill/>
            <w14:prstDash w14:val="solid"/>
            <w14:bevel/>
          </w14:textOutline>
        </w:rPr>
        <w:t xml:space="preserve">There is a template </w:t>
      </w:r>
      <w:r w:rsidR="6CB2F8F4" w:rsidRPr="001A79D5">
        <w:rPr>
          <w:rFonts w:ascii="Arial" w:hAnsi="Arial" w:cs="Arial Unicode MS"/>
          <w:sz w:val="22"/>
          <w:szCs w:val="22"/>
          <w14:textOutline w14:w="0" w14:cap="flat" w14:cmpd="sng" w14:algn="ctr">
            <w14:noFill/>
            <w14:prstDash w14:val="solid"/>
            <w14:bevel/>
          </w14:textOutline>
        </w:rPr>
        <w:t>“</w:t>
      </w:r>
      <w:hyperlink r:id="rId16" w:history="1">
        <w:r w:rsidR="6477FABE" w:rsidRPr="001A79D5">
          <w:rPr>
            <w:rStyle w:val="Hyperlink"/>
            <w:rFonts w:ascii="Arial" w:hAnsi="Arial" w:cs="Arial Unicode MS"/>
            <w:sz w:val="22"/>
            <w:szCs w:val="22"/>
            <w14:textOutline w14:w="0" w14:cap="flat" w14:cmpd="sng" w14:algn="ctr">
              <w14:noFill/>
              <w14:prstDash w14:val="solid"/>
              <w14:bevel/>
            </w14:textOutline>
          </w:rPr>
          <w:t>Proxy Access Consent Form</w:t>
        </w:r>
      </w:hyperlink>
      <w:r w:rsidR="6CB2F8F4" w:rsidRPr="001A79D5">
        <w:rPr>
          <w:rFonts w:ascii="Arial" w:hAnsi="Arial" w:cs="Arial Unicode MS"/>
          <w:sz w:val="22"/>
          <w:szCs w:val="22"/>
          <w14:textOutline w14:w="0" w14:cap="flat" w14:cmpd="sng" w14:algn="ctr">
            <w14:noFill/>
            <w14:prstDash w14:val="solid"/>
            <w14:bevel/>
          </w14:textOutline>
        </w:rPr>
        <w:t>”</w:t>
      </w:r>
      <w:r w:rsidR="6477FABE" w:rsidRPr="001A79D5">
        <w:rPr>
          <w:rFonts w:ascii="Arial" w:hAnsi="Arial" w:cs="Arial Unicode MS"/>
          <w:sz w:val="22"/>
          <w:szCs w:val="22"/>
          <w14:textOutline w14:w="0" w14:cap="flat" w14:cmpd="sng" w14:algn="ctr">
            <w14:noFill/>
            <w14:prstDash w14:val="solid"/>
            <w14:bevel/>
          </w14:textOutline>
        </w:rPr>
        <w:t xml:space="preserve"> for the patient to complete in the Toolkit.</w:t>
      </w:r>
    </w:p>
    <w:p w14:paraId="41C8F396" w14:textId="77777777" w:rsidR="00225E64" w:rsidRDefault="00225E64"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p>
    <w:p w14:paraId="1ADAD102" w14:textId="77777777" w:rsidR="00225E64" w:rsidRPr="002B7E89" w:rsidRDefault="00DC67A3" w:rsidP="002B7E89">
      <w:pPr>
        <w:pStyle w:val="ListParagraph"/>
        <w:numPr>
          <w:ilvl w:val="0"/>
          <w:numId w:val="13"/>
        </w:numPr>
        <w:spacing w:before="120" w:line="288" w:lineRule="auto"/>
        <w:rPr>
          <w:rFonts w:ascii="Lato" w:hAnsi="Lato"/>
          <w:color w:val="000000" w:themeColor="text1"/>
          <w:sz w:val="32"/>
          <w:szCs w:val="32"/>
          <w:u w:color="0075B9"/>
        </w:rPr>
      </w:pPr>
      <w:r w:rsidRPr="002B7E89">
        <w:rPr>
          <w:rFonts w:ascii="Lato" w:hAnsi="Lato" w:cs="Arial Unicode MS"/>
          <w:color w:val="000000" w:themeColor="text1"/>
          <w:sz w:val="32"/>
          <w:szCs w:val="32"/>
          <w:u w:color="0075B9"/>
        </w:rPr>
        <w:t>The risk of coercion and proxy access</w:t>
      </w:r>
    </w:p>
    <w:p w14:paraId="54C2E8DD" w14:textId="36D92EE2" w:rsidR="00225E64" w:rsidRDefault="6477FABE" w:rsidP="3C88EF7B">
      <w:pPr>
        <w:spacing w:before="120" w:line="288" w:lineRule="auto"/>
        <w:rPr>
          <w:rFonts w:ascii="Arial" w:eastAsia="Arial" w:hAnsi="Arial" w:cs="Arial"/>
          <w:color w:val="000000"/>
          <w:sz w:val="22"/>
          <w:szCs w:val="22"/>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 xml:space="preserve">Patients may be put under pressure to </w:t>
      </w:r>
      <w:r w:rsidR="00B26449">
        <w:rPr>
          <w:rFonts w:ascii="Arial" w:hAnsi="Arial" w:cs="Arial Unicode MS"/>
          <w:color w:val="000000"/>
          <w:sz w:val="22"/>
          <w:szCs w:val="22"/>
          <w14:textOutline w14:w="0" w14:cap="flat" w14:cmpd="sng" w14:algn="ctr">
            <w14:noFill/>
            <w14:prstDash w14:val="solid"/>
            <w14:bevel/>
          </w14:textOutline>
        </w:rPr>
        <w:t>give consent to</w:t>
      </w:r>
      <w:r>
        <w:rPr>
          <w:rFonts w:ascii="Arial" w:hAnsi="Arial" w:cs="Arial Unicode MS"/>
          <w:color w:val="000000"/>
          <w:sz w:val="22"/>
          <w:szCs w:val="22"/>
          <w14:textOutline w14:w="0" w14:cap="flat" w14:cmpd="sng" w14:algn="ctr">
            <w14:noFill/>
            <w14:prstDash w14:val="solid"/>
            <w14:bevel/>
          </w14:textOutline>
        </w:rPr>
        <w:t xml:space="preserve"> proxy access against their wishes. </w:t>
      </w:r>
      <w:r w:rsidR="00975738">
        <w:rPr>
          <w:rFonts w:ascii="Arial" w:hAnsi="Arial" w:cs="Arial Unicode MS"/>
          <w:color w:val="000000"/>
          <w:sz w:val="22"/>
          <w:szCs w:val="22"/>
          <w14:textOutline w14:w="0" w14:cap="flat" w14:cmpd="sng" w14:algn="ctr">
            <w14:noFill/>
            <w14:prstDash w14:val="solid"/>
            <w14:bevel/>
          </w14:textOutline>
        </w:rPr>
        <w:t xml:space="preserve"> </w:t>
      </w:r>
      <w:r>
        <w:rPr>
          <w:rFonts w:ascii="Arial" w:hAnsi="Arial" w:cs="Arial Unicode MS"/>
          <w:color w:val="000000"/>
          <w:sz w:val="22"/>
          <w:szCs w:val="22"/>
          <w14:textOutline w14:w="0" w14:cap="flat" w14:cmpd="sng" w14:algn="ctr">
            <w14:noFill/>
            <w14:prstDash w14:val="solid"/>
            <w14:bevel/>
          </w14:textOutline>
        </w:rPr>
        <w:t>Practice team members must be aware of safeguarding signs to look out for</w:t>
      </w:r>
      <w:r w:rsidR="05E82205">
        <w:rPr>
          <w:rFonts w:ascii="Arial" w:eastAsia="Arial" w:hAnsi="Arial" w:cs="Arial"/>
          <w:color w:val="000000"/>
          <w:sz w:val="22"/>
          <w:szCs w:val="22"/>
        </w:rPr>
        <w:t>.</w:t>
      </w:r>
      <w:r>
        <w:rPr>
          <w:rFonts w:ascii="Arial" w:hAnsi="Arial" w:cs="Arial Unicode MS"/>
          <w:color w:val="000000"/>
          <w:sz w:val="22"/>
          <w:szCs w:val="22"/>
          <w14:textOutline w14:w="0" w14:cap="flat" w14:cmpd="sng" w14:algn="ctr">
            <w14:noFill/>
            <w14:prstDash w14:val="solid"/>
            <w14:bevel/>
          </w14:textOutline>
        </w:rPr>
        <w:t xml:space="preserve"> </w:t>
      </w:r>
      <w:r w:rsidR="00B26449">
        <w:rPr>
          <w:rFonts w:ascii="Arial" w:hAnsi="Arial" w:cs="Arial Unicode MS"/>
          <w:color w:val="000000"/>
          <w:sz w:val="22"/>
          <w:szCs w:val="22"/>
          <w14:textOutline w14:w="0" w14:cap="flat" w14:cmpd="sng" w14:algn="ctr">
            <w14:noFill/>
            <w14:prstDash w14:val="solid"/>
            <w14:bevel/>
          </w14:textOutline>
        </w:rPr>
        <w:t xml:space="preserve"> </w:t>
      </w:r>
      <w:r>
        <w:rPr>
          <w:rFonts w:ascii="Arial" w:hAnsi="Arial" w:cs="Arial Unicode MS"/>
          <w:color w:val="000000"/>
          <w:sz w:val="22"/>
          <w:szCs w:val="22"/>
          <w14:textOutline w14:w="0" w14:cap="flat" w14:cmpd="sng" w14:algn="ctr">
            <w14:noFill/>
            <w14:prstDash w14:val="solid"/>
            <w14:bevel/>
          </w14:textOutline>
        </w:rPr>
        <w:t xml:space="preserve">If there are </w:t>
      </w:r>
      <w:r w:rsidR="3DFAA70A">
        <w:rPr>
          <w:rFonts w:ascii="Arial" w:hAnsi="Arial" w:cs="Arial Unicode MS"/>
          <w:color w:val="000000"/>
          <w:sz w:val="22"/>
          <w:szCs w:val="22"/>
          <w14:textOutline w14:w="0" w14:cap="flat" w14:cmpd="sng" w14:algn="ctr">
            <w14:noFill/>
            <w14:prstDash w14:val="solid"/>
            <w14:bevel/>
          </w14:textOutline>
        </w:rPr>
        <w:t>concerns</w:t>
      </w:r>
      <w:r>
        <w:rPr>
          <w:rFonts w:ascii="Arial" w:hAnsi="Arial" w:cs="Arial Unicode MS"/>
          <w:color w:val="000000"/>
          <w:sz w:val="22"/>
          <w:szCs w:val="22"/>
          <w14:textOutline w14:w="0" w14:cap="flat" w14:cmpd="sng" w14:algn="ctr">
            <w14:noFill/>
            <w14:prstDash w14:val="solid"/>
            <w14:bevel/>
          </w14:textOutline>
        </w:rPr>
        <w:t xml:space="preserve"> that the patient is being coerced then proxy access may be refused but it is essential to try to establish the true position with the patient first.  If there are still grounds for suspicion that the patient is being coerced, after careful discussion with the patient, proxy access should probably be limited or declined.</w:t>
      </w:r>
    </w:p>
    <w:p w14:paraId="68E29F41" w14:textId="174C5E81"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It may be possible to redact all potentially harmful data to enable </w:t>
      </w:r>
      <w:r w:rsidR="00EA109B">
        <w:rPr>
          <w:rFonts w:ascii="Arial" w:hAnsi="Arial" w:cs="Arial Unicode MS"/>
          <w:color w:val="000000"/>
          <w:sz w:val="22"/>
          <w:szCs w:val="22"/>
          <w:u w:color="000000"/>
          <w14:textOutline w14:w="0" w14:cap="flat" w14:cmpd="sng" w14:algn="ctr">
            <w14:noFill/>
            <w14:prstDash w14:val="solid"/>
            <w14:bevel/>
          </w14:textOutline>
        </w:rPr>
        <w:t>safe</w:t>
      </w:r>
      <w:r>
        <w:rPr>
          <w:rFonts w:ascii="Arial" w:hAnsi="Arial" w:cs="Arial Unicode MS"/>
          <w:color w:val="000000"/>
          <w:sz w:val="22"/>
          <w:szCs w:val="22"/>
          <w:u w:color="000000"/>
          <w14:textOutline w14:w="0" w14:cap="flat" w14:cmpd="sng" w14:algn="ctr">
            <w14:noFill/>
            <w14:prstDash w14:val="solid"/>
            <w14:bevel/>
          </w14:textOutline>
        </w:rPr>
        <w:t xml:space="preserve"> proxy access.</w:t>
      </w:r>
    </w:p>
    <w:p w14:paraId="4FC62E93" w14:textId="77777777" w:rsidR="00E17E0C" w:rsidRPr="001A79D5" w:rsidRDefault="00E17E0C" w:rsidP="00E17E0C">
      <w:pPr>
        <w:spacing w:before="120" w:line="288" w:lineRule="auto"/>
        <w:rPr>
          <w:rFonts w:ascii="Arial" w:eastAsia="Arial" w:hAnsi="Arial" w:cs="Arial"/>
          <w:sz w:val="22"/>
          <w:szCs w:val="22"/>
          <w14:textOutline w14:w="0" w14:cap="flat" w14:cmpd="sng" w14:algn="ctr">
            <w14:noFill/>
            <w14:prstDash w14:val="solid"/>
            <w14:bevel/>
          </w14:textOutline>
        </w:rPr>
      </w:pPr>
      <w:r w:rsidRPr="00C71478">
        <w:rPr>
          <w:rFonts w:ascii="Webdings" w:hAnsi="Webdings" w:cs="Arial Unicode MS"/>
          <w:color w:val="00B050"/>
          <w:sz w:val="22"/>
          <w:szCs w:val="22"/>
          <w14:textOutline w14:w="0" w14:cap="flat" w14:cmpd="sng" w14:algn="ctr">
            <w14:noFill/>
            <w14:prstDash w14:val="solid"/>
            <w14:bevel/>
          </w14:textOutline>
        </w:rPr>
        <w:t>i</w:t>
      </w:r>
      <w:r w:rsidRPr="007B7C2A">
        <w:rPr>
          <w:rFonts w:ascii="Arial" w:hAnsi="Arial" w:cs="Arial Unicode MS"/>
          <w:color w:val="00B050"/>
          <w:sz w:val="22"/>
          <w:szCs w:val="22"/>
          <w14:textOutline w14:w="0" w14:cap="flat" w14:cmpd="sng" w14:algn="ctr">
            <w14:noFill/>
            <w14:prstDash w14:val="solid"/>
            <w14:bevel/>
          </w14:textOutline>
        </w:rPr>
        <w:t xml:space="preserve"> </w:t>
      </w:r>
      <w:r w:rsidRPr="001A79D5">
        <w:rPr>
          <w:rFonts w:ascii="Arial" w:hAnsi="Arial" w:cs="Arial Unicode MS"/>
          <w:sz w:val="22"/>
          <w:szCs w:val="22"/>
          <w14:textOutline w14:w="0" w14:cap="flat" w14:cmpd="sng" w14:algn="ctr">
            <w14:noFill/>
            <w14:prstDash w14:val="solid"/>
            <w14:bevel/>
          </w14:textOutline>
        </w:rPr>
        <w:t>There is more information about these processes in the “</w:t>
      </w:r>
      <w:hyperlink r:id="rId17" w:history="1">
        <w:r w:rsidRPr="001A79D5">
          <w:rPr>
            <w:rStyle w:val="Hyperlink"/>
            <w:rFonts w:ascii="Arial" w:hAnsi="Arial" w:cs="Arial Unicode MS"/>
            <w:sz w:val="22"/>
            <w:szCs w:val="22"/>
            <w14:textOutline w14:w="0" w14:cap="flat" w14:cmpd="sng" w14:algn="ctr">
              <w14:noFill/>
              <w14:prstDash w14:val="solid"/>
              <w14:bevel/>
            </w14:textOutline>
          </w:rPr>
          <w:t>Coercion</w:t>
        </w:r>
      </w:hyperlink>
      <w:r w:rsidRPr="001A79D5">
        <w:rPr>
          <w:rFonts w:ascii="Arial" w:hAnsi="Arial" w:cs="Arial Unicode MS"/>
          <w:sz w:val="22"/>
          <w:szCs w:val="22"/>
          <w14:textOutline w14:w="0" w14:cap="flat" w14:cmpd="sng" w14:algn="ctr">
            <w14:noFill/>
            <w14:prstDash w14:val="solid"/>
            <w14:bevel/>
          </w14:textOutline>
        </w:rPr>
        <w:t>”</w:t>
      </w:r>
      <w:r w:rsidRPr="001A79D5" w:rsidDel="6477FABE">
        <w:rPr>
          <w:rFonts w:ascii="Arial" w:hAnsi="Arial" w:cs="Arial Unicode MS"/>
          <w:sz w:val="22"/>
          <w:szCs w:val="22"/>
        </w:rPr>
        <w:t xml:space="preserve">, </w:t>
      </w:r>
      <w:r w:rsidRPr="001A79D5" w:rsidDel="6CB2F8F4">
        <w:rPr>
          <w:rFonts w:ascii="Arial" w:hAnsi="Arial" w:cs="Arial Unicode MS"/>
          <w:sz w:val="22"/>
          <w:szCs w:val="22"/>
        </w:rPr>
        <w:t>“</w:t>
      </w:r>
      <w:hyperlink r:id="rId18" w:history="1">
        <w:r w:rsidRPr="001A79D5" w:rsidDel="6477FABE">
          <w:rPr>
            <w:rStyle w:val="Hyperlink"/>
            <w:rFonts w:ascii="Arial" w:hAnsi="Arial" w:cs="Arial Unicode MS"/>
            <w:sz w:val="22"/>
            <w:szCs w:val="22"/>
          </w:rPr>
          <w:t xml:space="preserve">Safeguarding and </w:t>
        </w:r>
        <w:r w:rsidRPr="001A79D5" w:rsidDel="6CB2F8F4">
          <w:rPr>
            <w:rStyle w:val="Hyperlink"/>
            <w:rFonts w:ascii="Arial" w:hAnsi="Arial" w:cs="Arial Unicode MS"/>
            <w:sz w:val="22"/>
            <w:szCs w:val="22"/>
          </w:rPr>
          <w:t>Automatic Record Access</w:t>
        </w:r>
      </w:hyperlink>
      <w:r w:rsidRPr="001A79D5" w:rsidDel="6CB2F8F4">
        <w:rPr>
          <w:rFonts w:ascii="Arial" w:hAnsi="Arial" w:cs="Arial Unicode MS"/>
          <w:sz w:val="22"/>
          <w:szCs w:val="22"/>
        </w:rPr>
        <w:t>”</w:t>
      </w:r>
      <w:r w:rsidRPr="001A79D5" w:rsidDel="6477FABE">
        <w:rPr>
          <w:rFonts w:ascii="Arial" w:hAnsi="Arial" w:cs="Arial Unicode MS"/>
          <w:sz w:val="22"/>
          <w:szCs w:val="22"/>
        </w:rPr>
        <w:t xml:space="preserve">, and </w:t>
      </w:r>
      <w:r w:rsidRPr="001A79D5" w:rsidDel="6CB2F8F4">
        <w:rPr>
          <w:rFonts w:ascii="Arial" w:hAnsi="Arial" w:cs="Arial Unicode MS"/>
          <w:sz w:val="22"/>
          <w:szCs w:val="22"/>
        </w:rPr>
        <w:t>“</w:t>
      </w:r>
      <w:hyperlink r:id="rId19" w:history="1">
        <w:r w:rsidRPr="001A79D5" w:rsidDel="6477FABE">
          <w:rPr>
            <w:rStyle w:val="Hyperlink"/>
            <w:rFonts w:ascii="Arial" w:hAnsi="Arial" w:cs="Arial Unicode MS"/>
            <w:sz w:val="22"/>
            <w:szCs w:val="22"/>
          </w:rPr>
          <w:t>Identity Verification</w:t>
        </w:r>
      </w:hyperlink>
      <w:r w:rsidRPr="001A79D5" w:rsidDel="6CB2F8F4">
        <w:rPr>
          <w:rFonts w:ascii="Arial" w:hAnsi="Arial" w:cs="Arial Unicode MS"/>
          <w:sz w:val="22"/>
          <w:szCs w:val="22"/>
        </w:rPr>
        <w:t>”</w:t>
      </w:r>
      <w:r w:rsidRPr="001A79D5">
        <w:rPr>
          <w:rFonts w:ascii="Arial" w:hAnsi="Arial" w:cs="Arial Unicode MS"/>
          <w:sz w:val="22"/>
          <w:szCs w:val="22"/>
          <w14:textOutline w14:w="0" w14:cap="flat" w14:cmpd="sng" w14:algn="ctr">
            <w14:noFill/>
            <w14:prstDash w14:val="solid"/>
            <w14:bevel/>
          </w14:textOutline>
        </w:rPr>
        <w:t xml:space="preserve"> guidance in the Toolkit.</w:t>
      </w:r>
    </w:p>
    <w:p w14:paraId="66DE5BEF" w14:textId="77777777"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lastRenderedPageBreak/>
        <w:t>When informing patients about proxy access ensure that they understand that they have a choice about what the proxy will be able to access.  For a patient with capacity, the decision is entirely in their hands.  The options are:</w:t>
      </w:r>
    </w:p>
    <w:p w14:paraId="7CEA665F" w14:textId="77777777" w:rsidR="00225E64" w:rsidRDefault="00DC67A3" w:rsidP="00EA109B">
      <w:pPr>
        <w:numPr>
          <w:ilvl w:val="0"/>
          <w:numId w:val="4"/>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Online appointments booking and cancelling</w:t>
      </w:r>
    </w:p>
    <w:p w14:paraId="4D62FCBF" w14:textId="77777777" w:rsidR="00225E64" w:rsidRDefault="00DC67A3" w:rsidP="00EA109B">
      <w:pPr>
        <w:numPr>
          <w:ilvl w:val="0"/>
          <w:numId w:val="4"/>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Online prescription management</w:t>
      </w:r>
    </w:p>
    <w:p w14:paraId="6C728341" w14:textId="77777777" w:rsidR="00225E64" w:rsidRDefault="00DC67A3" w:rsidP="00EA109B">
      <w:pPr>
        <w:numPr>
          <w:ilvl w:val="0"/>
          <w:numId w:val="4"/>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Access to health records, in full or in part.</w:t>
      </w:r>
    </w:p>
    <w:p w14:paraId="08ED2130" w14:textId="77777777"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The practice may also reduce or remove proxy access if you feel that it would be in the patient’s best interests.  If, for example, there is suspicion that the proxy access is being misused.</w:t>
      </w:r>
    </w:p>
    <w:p w14:paraId="7C62C745" w14:textId="774E1F23"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When an adult patient has been assessed as lacking capacity, it is the responsibility of the </w:t>
      </w:r>
      <w:r w:rsidR="00EA109B">
        <w:rPr>
          <w:rFonts w:ascii="Arial" w:hAnsi="Arial" w:cs="Arial Unicode MS"/>
          <w:color w:val="000000"/>
          <w:sz w:val="22"/>
          <w:szCs w:val="22"/>
          <w:u w:color="000000"/>
          <w14:textOutline w14:w="0" w14:cap="flat" w14:cmpd="sng" w14:algn="ctr">
            <w14:noFill/>
            <w14:prstDash w14:val="solid"/>
            <w14:bevel/>
          </w14:textOutline>
        </w:rPr>
        <w:t>practice team member</w:t>
      </w:r>
      <w:r>
        <w:rPr>
          <w:rFonts w:ascii="Arial" w:hAnsi="Arial" w:cs="Arial Unicode MS"/>
          <w:color w:val="000000"/>
          <w:sz w:val="22"/>
          <w:szCs w:val="22"/>
          <w:u w:color="000000"/>
          <w14:textOutline w14:w="0" w14:cap="flat" w14:cmpd="sng" w14:algn="ctr">
            <w14:noFill/>
            <w14:prstDash w14:val="solid"/>
            <w14:bevel/>
          </w14:textOutline>
        </w:rPr>
        <w:t xml:space="preserve"> </w:t>
      </w:r>
      <w:proofErr w:type="spellStart"/>
      <w:r>
        <w:rPr>
          <w:rFonts w:ascii="Arial" w:hAnsi="Arial" w:cs="Arial Unicode MS"/>
          <w:color w:val="000000"/>
          <w:sz w:val="22"/>
          <w:szCs w:val="22"/>
          <w:u w:color="000000"/>
          <w14:textOutline w14:w="0" w14:cap="flat" w14:cmpd="sng" w14:algn="ctr">
            <w14:noFill/>
            <w14:prstDash w14:val="solid"/>
            <w14:bevel/>
          </w14:textOutline>
        </w:rPr>
        <w:t>authorising</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proxy access to ensure that the level of access permitted is the minimum necessary for the performance of the applicant’s duties</w:t>
      </w:r>
      <w:r w:rsidR="00EA109B">
        <w:rPr>
          <w:rFonts w:ascii="Arial" w:hAnsi="Arial" w:cs="Arial Unicode MS"/>
          <w:color w:val="000000"/>
          <w:sz w:val="22"/>
          <w:szCs w:val="22"/>
          <w:u w:color="000000"/>
          <w14:textOutline w14:w="0" w14:cap="flat" w14:cmpd="sng" w14:algn="ctr">
            <w14:noFill/>
            <w14:prstDash w14:val="solid"/>
            <w14:bevel/>
          </w14:textOutline>
        </w:rPr>
        <w:t>.</w:t>
      </w:r>
    </w:p>
    <w:p w14:paraId="72A3D3EC" w14:textId="77777777" w:rsidR="00225E64" w:rsidRDefault="00225E64"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p>
    <w:p w14:paraId="28A987F7" w14:textId="692E5D71" w:rsidR="00225E64" w:rsidRPr="002B7E89" w:rsidRDefault="00CC4D08" w:rsidP="002B7E89">
      <w:pPr>
        <w:pStyle w:val="ListParagraph"/>
        <w:numPr>
          <w:ilvl w:val="0"/>
          <w:numId w:val="13"/>
        </w:numPr>
        <w:spacing w:before="120" w:line="288" w:lineRule="auto"/>
        <w:rPr>
          <w:rFonts w:ascii="Lato" w:hAnsi="Lato"/>
          <w:color w:val="000000" w:themeColor="text1"/>
          <w:sz w:val="32"/>
          <w:szCs w:val="32"/>
          <w:u w:color="0075B9"/>
        </w:rPr>
      </w:pPr>
      <w:r w:rsidRPr="002B7E89">
        <w:rPr>
          <w:rFonts w:ascii="Lato" w:hAnsi="Lato" w:cs="Arial Unicode MS"/>
          <w:color w:val="000000" w:themeColor="text1"/>
          <w:sz w:val="32"/>
          <w:szCs w:val="32"/>
          <w:u w:color="0075B9"/>
        </w:rPr>
        <w:t>Declining</w:t>
      </w:r>
      <w:r w:rsidR="00DC67A3" w:rsidRPr="002B7E89">
        <w:rPr>
          <w:rFonts w:ascii="Lato" w:hAnsi="Lato" w:cs="Arial Unicode MS"/>
          <w:color w:val="000000" w:themeColor="text1"/>
          <w:sz w:val="32"/>
          <w:szCs w:val="32"/>
          <w:u w:color="0075B9"/>
        </w:rPr>
        <w:t xml:space="preserve"> proxy access</w:t>
      </w:r>
    </w:p>
    <w:p w14:paraId="0E418A5F" w14:textId="77777777"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Proxy access should not be granted or should be withdrawn if</w:t>
      </w:r>
    </w:p>
    <w:p w14:paraId="60BBB854" w14:textId="77777777" w:rsidR="00225E64" w:rsidRDefault="00DC67A3" w:rsidP="00EA109B">
      <w:pPr>
        <w:numPr>
          <w:ilvl w:val="0"/>
          <w:numId w:val="6"/>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Practice staff have good grounds for suspicion that the patient consenting to proxy access is not doing so willingly, without coercion</w:t>
      </w:r>
    </w:p>
    <w:p w14:paraId="6E2B705E" w14:textId="77777777" w:rsidR="00225E64" w:rsidRDefault="00DC67A3" w:rsidP="00EA109B">
      <w:pPr>
        <w:numPr>
          <w:ilvl w:val="0"/>
          <w:numId w:val="6"/>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proofErr w:type="spellStart"/>
      <w:r>
        <w:rPr>
          <w:rFonts w:ascii="Arial" w:hAnsi="Arial" w:cs="Arial Unicode MS"/>
          <w:color w:val="000000"/>
          <w:sz w:val="22"/>
          <w:szCs w:val="22"/>
          <w:u w:color="000000"/>
          <w14:textOutline w14:w="0" w14:cap="flat" w14:cmpd="sng" w14:algn="ctr">
            <w14:noFill/>
            <w14:prstDash w14:val="solid"/>
            <w14:bevel/>
          </w14:textOutline>
        </w:rPr>
        <w:t>Authorised</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practice staff believe a patient aged under 16 is competent to </w:t>
      </w:r>
      <w:proofErr w:type="gramStart"/>
      <w:r>
        <w:rPr>
          <w:rFonts w:ascii="Arial" w:hAnsi="Arial" w:cs="Arial Unicode MS"/>
          <w:color w:val="000000"/>
          <w:sz w:val="22"/>
          <w:szCs w:val="22"/>
          <w:u w:color="000000"/>
          <w14:textOutline w14:w="0" w14:cap="flat" w14:cmpd="sng" w14:algn="ctr">
            <w14:noFill/>
            <w14:prstDash w14:val="solid"/>
            <w14:bevel/>
          </w14:textOutline>
        </w:rPr>
        <w:t>make a decision</w:t>
      </w:r>
      <w:proofErr w:type="gramEnd"/>
      <w:r>
        <w:rPr>
          <w:rFonts w:ascii="Arial" w:hAnsi="Arial" w:cs="Arial Unicode MS"/>
          <w:color w:val="000000"/>
          <w:sz w:val="22"/>
          <w:szCs w:val="22"/>
          <w:u w:color="000000"/>
          <w14:textOutline w14:w="0" w14:cap="flat" w14:cmpd="sng" w14:algn="ctr">
            <w14:noFill/>
            <w14:prstDash w14:val="solid"/>
            <w14:bevel/>
          </w14:textOutline>
        </w:rPr>
        <w:t xml:space="preserve"> on access and does not give consent for proxy access by the person who is seeking it</w:t>
      </w:r>
    </w:p>
    <w:p w14:paraId="22F27BBC" w14:textId="77777777" w:rsidR="00225E64" w:rsidRDefault="00DC67A3" w:rsidP="00EA109B">
      <w:pPr>
        <w:numPr>
          <w:ilvl w:val="0"/>
          <w:numId w:val="6"/>
        </w:numPr>
        <w:spacing w:before="60"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If there is a suspicion that proxy access will create a risk to the security and privacy of the patient</w:t>
      </w:r>
    </w:p>
    <w:p w14:paraId="084851D0" w14:textId="77777777" w:rsidR="00225E64" w:rsidRDefault="00DC67A3" w:rsidP="00EA109B">
      <w:pPr>
        <w:numPr>
          <w:ilvl w:val="0"/>
          <w:numId w:val="6"/>
        </w:numPr>
        <w:spacing w:beforeLines="60" w:before="144" w:line="288" w:lineRule="auto"/>
        <w:ind w:left="714" w:hanging="357"/>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The patient, having previously expressed the wish not to grant proxy access to specific individuals loses capacity, either permanently or temporarily and such a person requests proxy access; the advance decision should always be recorded in the patient’s record</w:t>
      </w:r>
    </w:p>
    <w:p w14:paraId="743617AA" w14:textId="77777777" w:rsidR="00225E64" w:rsidRDefault="00DC67A3" w:rsidP="00EA109B">
      <w:pPr>
        <w:numPr>
          <w:ilvl w:val="0"/>
          <w:numId w:val="6"/>
        </w:numPr>
        <w:spacing w:beforeLines="60" w:before="144" w:line="288" w:lineRule="auto"/>
        <w:rPr>
          <w:rFonts w:ascii="Arial" w:hAnsi="Arial" w:cs="Arial Unicode MS"/>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The patient’s GP assesses that the proxy access being requested is not in the best interests of the patient.</w:t>
      </w:r>
    </w:p>
    <w:p w14:paraId="0D0B940D" w14:textId="77777777" w:rsidR="00225E64" w:rsidRDefault="00225E64" w:rsidP="00BD3568">
      <w:pPr>
        <w:pStyle w:val="BodyText"/>
        <w:spacing w:before="120" w:line="288" w:lineRule="auto"/>
        <w:rPr>
          <w:rFonts w:ascii="Helvetica Neue" w:eastAsia="Helvetica Neue" w:hAnsi="Helvetica Neue" w:cs="Helvetica Neue"/>
        </w:rPr>
      </w:pPr>
    </w:p>
    <w:p w14:paraId="7BAA3554" w14:textId="77777777" w:rsidR="00225E64" w:rsidRPr="00BD3568" w:rsidRDefault="00DC67A3" w:rsidP="002B7E89">
      <w:pPr>
        <w:pStyle w:val="Heading2"/>
        <w:numPr>
          <w:ilvl w:val="0"/>
          <w:numId w:val="13"/>
        </w:numPr>
        <w:spacing w:before="120" w:line="288" w:lineRule="auto"/>
        <w:rPr>
          <w:rFonts w:ascii="Lato" w:eastAsia="Helvetica Neue" w:hAnsi="Lato" w:cs="Helvetica Neue"/>
          <w:b w:val="0"/>
          <w:bCs w:val="0"/>
          <w:color w:val="000000" w:themeColor="text1"/>
          <w:sz w:val="32"/>
          <w:szCs w:val="32"/>
        </w:rPr>
      </w:pPr>
      <w:r w:rsidRPr="00BD3568">
        <w:rPr>
          <w:rFonts w:ascii="Lato" w:hAnsi="Lato"/>
          <w:b w:val="0"/>
          <w:bCs w:val="0"/>
          <w:color w:val="000000" w:themeColor="text1"/>
          <w:sz w:val="32"/>
          <w:szCs w:val="32"/>
          <w:u w:color="2E759E"/>
        </w:rPr>
        <w:t>Reviewing proxy access</w:t>
      </w:r>
    </w:p>
    <w:p w14:paraId="415457A4" w14:textId="1E36BF88" w:rsidR="00225E64" w:rsidRDefault="00DC67A3" w:rsidP="00BD3568">
      <w:pPr>
        <w:spacing w:before="120" w:line="288" w:lineRule="auto"/>
        <w:rPr>
          <w:rFonts w:ascii="Arial" w:eastAsia="Arial" w:hAnsi="Arial" w:cs="Arial"/>
          <w:color w:val="000000"/>
          <w:sz w:val="22"/>
          <w:szCs w:val="22"/>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Where proxy access has been granted with the consent of the patient, the proxy access must be reviewed or withdrawn if the patient requests it or if any of the circumstances described above</w:t>
      </w:r>
      <w:r w:rsidR="00EA109B">
        <w:rPr>
          <w:rFonts w:ascii="Arial" w:hAnsi="Arial" w:cs="Arial Unicode MS"/>
          <w:color w:val="000000"/>
          <w:sz w:val="22"/>
          <w:szCs w:val="22"/>
          <w14:textOutline w14:w="0" w14:cap="flat" w14:cmpd="sng" w14:algn="ctr">
            <w14:noFill/>
            <w14:prstDash w14:val="solid"/>
            <w14:bevel/>
          </w14:textOutline>
        </w:rPr>
        <w:t>,</w:t>
      </w:r>
      <w:r>
        <w:rPr>
          <w:rFonts w:ascii="Arial" w:hAnsi="Arial" w:cs="Arial Unicode MS"/>
          <w:color w:val="000000"/>
          <w:sz w:val="22"/>
          <w:szCs w:val="22"/>
          <w14:textOutline w14:w="0" w14:cap="flat" w14:cmpd="sng" w14:algn="ctr">
            <w14:noFill/>
            <w14:prstDash w14:val="solid"/>
            <w14:bevel/>
          </w14:textOutline>
        </w:rPr>
        <w:t xml:space="preserve"> that would have led the practice to decline proxy access</w:t>
      </w:r>
      <w:r w:rsidR="00EA109B">
        <w:rPr>
          <w:rFonts w:ascii="Arial" w:hAnsi="Arial" w:cs="Arial Unicode MS"/>
          <w:color w:val="000000"/>
          <w:sz w:val="22"/>
          <w:szCs w:val="22"/>
          <w14:textOutline w14:w="0" w14:cap="flat" w14:cmpd="sng" w14:algn="ctr">
            <w14:noFill/>
            <w14:prstDash w14:val="solid"/>
            <w14:bevel/>
          </w14:textOutline>
        </w:rPr>
        <w:t>,</w:t>
      </w:r>
      <w:r>
        <w:rPr>
          <w:rFonts w:ascii="Arial" w:hAnsi="Arial" w:cs="Arial Unicode MS"/>
          <w:color w:val="000000"/>
          <w:sz w:val="22"/>
          <w:szCs w:val="22"/>
          <w14:textOutline w14:w="0" w14:cap="flat" w14:cmpd="sng" w14:algn="ctr">
            <w14:noFill/>
            <w14:prstDash w14:val="solid"/>
            <w14:bevel/>
          </w14:textOutline>
        </w:rPr>
        <w:t xml:space="preserve"> arise.</w:t>
      </w:r>
    </w:p>
    <w:p w14:paraId="7F734A07" w14:textId="77777777"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It should also be reviewed if the patient loses capacity to give consent, unless the patient specifically consented before they lost capacity to an enduring proxy access that would continue after they lost capacity.</w:t>
      </w:r>
    </w:p>
    <w:p w14:paraId="77BD1AF2" w14:textId="355E9029"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Where proxy access has been enabled on behalf of an adult patient who lacks capacity, it should be reviewed if there is a change in capacity that results in the patient re-acquiring capacity. </w:t>
      </w:r>
      <w:r w:rsidR="00EA10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Proxy access should then only continue with the patient’s consent.</w:t>
      </w:r>
    </w:p>
    <w:p w14:paraId="597632E9" w14:textId="7BF367A9" w:rsidR="00225E64" w:rsidRDefault="2CC83FBA" w:rsidP="00BD3568">
      <w:pPr>
        <w:spacing w:before="120" w:line="288" w:lineRule="auto"/>
        <w:rPr>
          <w:rFonts w:ascii="Arial" w:eastAsia="Arial" w:hAnsi="Arial" w:cs="Arial"/>
          <w:color w:val="000000"/>
          <w:sz w:val="22"/>
          <w:szCs w:val="22"/>
          <w14:textOutline w14:w="0" w14:cap="flat" w14:cmpd="sng" w14:algn="ctr">
            <w14:noFill/>
            <w14:prstDash w14:val="solid"/>
            <w14:bevel/>
          </w14:textOutline>
        </w:rPr>
      </w:pPr>
      <w:r w:rsidRPr="2CC83FBA">
        <w:rPr>
          <w:rFonts w:ascii="Arial" w:hAnsi="Arial" w:cs="Arial Unicode MS"/>
          <w:color w:val="000000"/>
          <w:sz w:val="22"/>
          <w:szCs w:val="22"/>
          <w14:textOutline w14:w="0" w14:cap="flat" w14:cmpd="sng" w14:algn="ctr">
            <w14:noFill/>
            <w14:prstDash w14:val="solid"/>
            <w14:bevel/>
          </w14:textOutline>
        </w:rPr>
        <w:lastRenderedPageBreak/>
        <w:t>Where proxy access has</w:t>
      </w:r>
      <w:r w:rsidR="00040B08">
        <w:rPr>
          <w:rFonts w:ascii="Arial" w:hAnsi="Arial" w:cs="Arial Unicode MS"/>
          <w:color w:val="000000"/>
          <w:sz w:val="22"/>
          <w:szCs w:val="22"/>
          <w14:textOutline w14:w="0" w14:cap="flat" w14:cmpd="sng" w14:algn="ctr">
            <w14:noFill/>
            <w14:prstDash w14:val="solid"/>
            <w14:bevel/>
          </w14:textOutline>
        </w:rPr>
        <w:t xml:space="preserve"> been</w:t>
      </w:r>
      <w:r w:rsidRPr="2CC83FBA">
        <w:rPr>
          <w:rFonts w:ascii="Arial" w:hAnsi="Arial" w:cs="Arial Unicode MS"/>
          <w:color w:val="000000"/>
          <w:sz w:val="22"/>
          <w:szCs w:val="22"/>
          <w14:textOutline w14:w="0" w14:cap="flat" w14:cmpd="sng" w14:algn="ctr">
            <w14:noFill/>
            <w14:prstDash w14:val="solid"/>
            <w14:bevel/>
          </w14:textOutline>
        </w:rPr>
        <w:t xml:space="preserve"> given to representative(s) of a young person between their 11th and 16th birthdays, the patient’s capacity to make an independent decision about whether proxy access should continue should be regularly assessed.  This is necessary at the request of the patient or the proxies or if the right of a proxy to continue to act as the patient’s representative comes into question. </w:t>
      </w:r>
    </w:p>
    <w:p w14:paraId="4AA2E727" w14:textId="77777777"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Once a young person turns 16, the previous competence assessment by default is no longer applicable as they are assumed to have capacity unless there is an indication to the contrary.  Access by proxies should be reviewed at this stage with all competent patients.</w:t>
      </w:r>
    </w:p>
    <w:p w14:paraId="03CFC54B" w14:textId="6C42DA6A" w:rsidR="00225E64" w:rsidRPr="007B7C2A" w:rsidRDefault="00E17E0C" w:rsidP="00BD3568">
      <w:pPr>
        <w:spacing w:before="120" w:line="288" w:lineRule="auto"/>
        <w:rPr>
          <w:rFonts w:ascii="Arial" w:eastAsia="Arial" w:hAnsi="Arial" w:cs="Arial"/>
          <w:color w:val="00B050"/>
          <w:sz w:val="22"/>
          <w:szCs w:val="22"/>
          <w:u w:color="000000"/>
          <w14:textOutline w14:w="0" w14:cap="flat" w14:cmpd="sng" w14:algn="ctr">
            <w14:noFill/>
            <w14:prstDash w14:val="solid"/>
            <w14:bevel/>
          </w14:textOutline>
        </w:rPr>
      </w:pPr>
      <w:bookmarkStart w:id="0" w:name="_Hlk119590768"/>
      <w:r w:rsidRPr="00C71478">
        <w:rPr>
          <w:rFonts w:ascii="Webdings" w:hAnsi="Webdings" w:cs="Arial Unicode MS"/>
          <w:color w:val="00B050"/>
          <w:sz w:val="22"/>
          <w:szCs w:val="22"/>
          <w14:textOutline w14:w="0" w14:cap="flat" w14:cmpd="sng" w14:algn="ctr">
            <w14:noFill/>
            <w14:prstDash w14:val="solid"/>
            <w14:bevel/>
          </w14:textOutline>
        </w:rPr>
        <w:t>i</w:t>
      </w:r>
      <w:r w:rsidRPr="007B7C2A">
        <w:rPr>
          <w:rFonts w:ascii="Arial" w:hAnsi="Arial" w:cs="Arial Unicode MS"/>
          <w:color w:val="00B050"/>
          <w:sz w:val="22"/>
          <w:szCs w:val="22"/>
          <w:u w:color="000000"/>
          <w14:textOutline w14:w="0" w14:cap="flat" w14:cmpd="sng" w14:algn="ctr">
            <w14:noFill/>
            <w14:prstDash w14:val="solid"/>
            <w14:bevel/>
          </w14:textOutline>
        </w:rPr>
        <w:t xml:space="preserve"> </w:t>
      </w:r>
      <w:r w:rsidR="00DC67A3" w:rsidRPr="00087FD8">
        <w:rPr>
          <w:rFonts w:ascii="Arial" w:hAnsi="Arial" w:cs="Arial Unicode MS"/>
          <w:sz w:val="22"/>
          <w:szCs w:val="22"/>
          <w:u w:color="000000"/>
          <w14:textOutline w14:w="0" w14:cap="flat" w14:cmpd="sng" w14:algn="ctr">
            <w14:noFill/>
            <w14:prstDash w14:val="solid"/>
            <w14:bevel/>
          </w14:textOutline>
        </w:rPr>
        <w:t xml:space="preserve">There is more information about this in the guidance on </w:t>
      </w:r>
      <w:r w:rsidR="00BD3568" w:rsidRPr="00087FD8">
        <w:rPr>
          <w:rFonts w:ascii="Arial" w:hAnsi="Arial" w:cs="Arial Unicode MS"/>
          <w:sz w:val="22"/>
          <w:szCs w:val="22"/>
          <w:u w:color="000000"/>
          <w14:textOutline w14:w="0" w14:cap="flat" w14:cmpd="sng" w14:algn="ctr">
            <w14:noFill/>
            <w14:prstDash w14:val="solid"/>
            <w14:bevel/>
          </w14:textOutline>
        </w:rPr>
        <w:t>“</w:t>
      </w:r>
      <w:hyperlink r:id="rId20" w:history="1">
        <w:r w:rsidR="00DC67A3" w:rsidRPr="00087FD8">
          <w:rPr>
            <w:rStyle w:val="Hyperlink"/>
            <w:rFonts w:ascii="Arial" w:hAnsi="Arial" w:cs="Arial Unicode MS"/>
            <w:sz w:val="22"/>
            <w:szCs w:val="22"/>
            <w14:textOutline w14:w="0" w14:cap="flat" w14:cmpd="sng" w14:algn="ctr">
              <w14:noFill/>
              <w14:prstDash w14:val="solid"/>
              <w14:bevel/>
            </w14:textOutline>
          </w:rPr>
          <w:t>Children and Young People</w:t>
        </w:r>
      </w:hyperlink>
      <w:r w:rsidR="00BD3568" w:rsidRPr="00087FD8">
        <w:rPr>
          <w:rFonts w:ascii="Arial" w:hAnsi="Arial" w:cs="Arial Unicode MS"/>
          <w:sz w:val="22"/>
          <w:szCs w:val="22"/>
          <w:u w:color="000000"/>
          <w14:textOutline w14:w="0" w14:cap="flat" w14:cmpd="sng" w14:algn="ctr">
            <w14:noFill/>
            <w14:prstDash w14:val="solid"/>
            <w14:bevel/>
          </w14:textOutline>
        </w:rPr>
        <w:t>”</w:t>
      </w:r>
      <w:r w:rsidR="00DC67A3" w:rsidRPr="00087FD8">
        <w:rPr>
          <w:rFonts w:ascii="Arial" w:hAnsi="Arial" w:cs="Arial Unicode MS"/>
          <w:sz w:val="22"/>
          <w:szCs w:val="22"/>
          <w:u w:color="000000"/>
          <w14:textOutline w14:w="0" w14:cap="flat" w14:cmpd="sng" w14:algn="ctr">
            <w14:noFill/>
            <w14:prstDash w14:val="solid"/>
            <w14:bevel/>
          </w14:textOutline>
        </w:rPr>
        <w:t xml:space="preserve"> in the Toolkit.</w:t>
      </w:r>
    </w:p>
    <w:bookmarkEnd w:id="0"/>
    <w:p w14:paraId="0E27B00A" w14:textId="77777777" w:rsidR="00225E64" w:rsidRDefault="00225E64" w:rsidP="00BD3568">
      <w:pPr>
        <w:pStyle w:val="BodyText"/>
        <w:spacing w:before="120" w:line="288" w:lineRule="auto"/>
        <w:rPr>
          <w:rFonts w:ascii="Helvetica Neue" w:eastAsia="Helvetica Neue" w:hAnsi="Helvetica Neue" w:cs="Helvetica Neue"/>
        </w:rPr>
      </w:pPr>
    </w:p>
    <w:p w14:paraId="1908A95B" w14:textId="77777777" w:rsidR="00225E64" w:rsidRPr="002B7E89" w:rsidRDefault="00DC67A3" w:rsidP="002B7E89">
      <w:pPr>
        <w:pStyle w:val="ListParagraph"/>
        <w:numPr>
          <w:ilvl w:val="0"/>
          <w:numId w:val="13"/>
        </w:numPr>
        <w:spacing w:before="120" w:line="288" w:lineRule="auto"/>
        <w:rPr>
          <w:rFonts w:ascii="Lato" w:hAnsi="Lato"/>
          <w:color w:val="000000" w:themeColor="text1"/>
          <w:sz w:val="32"/>
          <w:szCs w:val="32"/>
          <w:u w:color="0075B9"/>
        </w:rPr>
      </w:pPr>
      <w:r w:rsidRPr="002B7E89">
        <w:rPr>
          <w:rFonts w:ascii="Lato" w:hAnsi="Lato" w:cs="Arial Unicode MS"/>
          <w:color w:val="000000" w:themeColor="text1"/>
          <w:sz w:val="32"/>
          <w:szCs w:val="32"/>
          <w:u w:color="0075B9"/>
        </w:rPr>
        <w:t>Proxy access without the patient’s consent</w:t>
      </w:r>
    </w:p>
    <w:p w14:paraId="7717A930" w14:textId="77777777" w:rsidR="00E83C37" w:rsidRDefault="00E83C37" w:rsidP="00E83C37">
      <w:pPr>
        <w:spacing w:before="120" w:line="288" w:lineRule="auto"/>
        <w:rPr>
          <w:rFonts w:ascii="Arial" w:eastAsia="Arial" w:hAnsi="Arial" w:cs="Arial"/>
          <w:color w:val="000000" w:themeColor="text1"/>
          <w:sz w:val="22"/>
          <w:szCs w:val="22"/>
        </w:rPr>
      </w:pPr>
      <w:r w:rsidRPr="428D294A">
        <w:rPr>
          <w:rFonts w:ascii="Arial" w:eastAsia="Arial" w:hAnsi="Arial" w:cs="Arial"/>
          <w:color w:val="000000" w:themeColor="text1"/>
          <w:sz w:val="22"/>
          <w:szCs w:val="22"/>
        </w:rPr>
        <w:t>Proxy access</w:t>
      </w:r>
      <w:r>
        <w:rPr>
          <w:rFonts w:ascii="Arial" w:eastAsia="Arial" w:hAnsi="Arial" w:cs="Arial"/>
          <w:color w:val="000000" w:themeColor="text1"/>
          <w:sz w:val="22"/>
          <w:szCs w:val="22"/>
        </w:rPr>
        <w:t xml:space="preserve"> for patients’ who lack capacity</w:t>
      </w:r>
      <w:r w:rsidRPr="428D294A">
        <w:rPr>
          <w:rFonts w:ascii="Arial" w:eastAsia="Arial" w:hAnsi="Arial" w:cs="Arial"/>
          <w:color w:val="000000" w:themeColor="text1"/>
          <w:sz w:val="22"/>
          <w:szCs w:val="22"/>
        </w:rPr>
        <w:t xml:space="preserve"> is beneficial </w:t>
      </w:r>
      <w:r>
        <w:rPr>
          <w:rFonts w:ascii="Arial" w:eastAsia="Arial" w:hAnsi="Arial" w:cs="Arial"/>
          <w:color w:val="000000" w:themeColor="text1"/>
          <w:sz w:val="22"/>
          <w:szCs w:val="22"/>
        </w:rPr>
        <w:t>when it</w:t>
      </w:r>
      <w:r w:rsidRPr="428D294A">
        <w:rPr>
          <w:rFonts w:ascii="Arial" w:eastAsia="Arial" w:hAnsi="Arial" w:cs="Arial"/>
          <w:color w:val="000000" w:themeColor="text1"/>
          <w:sz w:val="22"/>
          <w:szCs w:val="22"/>
        </w:rPr>
        <w:t xml:space="preserve"> allow</w:t>
      </w:r>
      <w:r>
        <w:rPr>
          <w:rFonts w:ascii="Arial" w:eastAsia="Arial" w:hAnsi="Arial" w:cs="Arial"/>
          <w:color w:val="000000" w:themeColor="text1"/>
          <w:sz w:val="22"/>
          <w:szCs w:val="22"/>
        </w:rPr>
        <w:t>s</w:t>
      </w:r>
      <w:r w:rsidRPr="428D294A">
        <w:rPr>
          <w:rFonts w:ascii="Arial" w:eastAsia="Arial" w:hAnsi="Arial" w:cs="Arial"/>
          <w:color w:val="000000" w:themeColor="text1"/>
          <w:sz w:val="22"/>
          <w:szCs w:val="22"/>
        </w:rPr>
        <w:t xml:space="preserve"> a </w:t>
      </w:r>
      <w:proofErr w:type="spellStart"/>
      <w:r w:rsidRPr="428D294A">
        <w:rPr>
          <w:rFonts w:ascii="Arial" w:eastAsia="Arial" w:hAnsi="Arial" w:cs="Arial"/>
          <w:color w:val="000000" w:themeColor="text1"/>
          <w:sz w:val="22"/>
          <w:szCs w:val="22"/>
        </w:rPr>
        <w:t>carer</w:t>
      </w:r>
      <w:proofErr w:type="spellEnd"/>
      <w:r w:rsidRPr="428D294A">
        <w:rPr>
          <w:rFonts w:ascii="Arial" w:eastAsia="Arial" w:hAnsi="Arial" w:cs="Arial"/>
          <w:color w:val="000000" w:themeColor="text1"/>
          <w:sz w:val="22"/>
          <w:szCs w:val="22"/>
        </w:rPr>
        <w:t xml:space="preserve"> or other representative</w:t>
      </w:r>
      <w:r>
        <w:rPr>
          <w:rFonts w:ascii="Arial" w:eastAsia="Arial" w:hAnsi="Arial" w:cs="Arial"/>
          <w:color w:val="000000" w:themeColor="text1"/>
          <w:sz w:val="22"/>
          <w:szCs w:val="22"/>
        </w:rPr>
        <w:t xml:space="preserve"> to </w:t>
      </w:r>
      <w:r w:rsidRPr="428D294A">
        <w:rPr>
          <w:rFonts w:ascii="Arial" w:eastAsia="Arial" w:hAnsi="Arial" w:cs="Arial"/>
          <w:color w:val="000000" w:themeColor="text1"/>
          <w:sz w:val="22"/>
          <w:szCs w:val="22"/>
        </w:rPr>
        <w:t xml:space="preserve">participate </w:t>
      </w:r>
      <w:r>
        <w:rPr>
          <w:rFonts w:ascii="Arial" w:eastAsia="Arial" w:hAnsi="Arial" w:cs="Arial"/>
          <w:color w:val="000000" w:themeColor="text1"/>
          <w:sz w:val="22"/>
          <w:szCs w:val="22"/>
        </w:rPr>
        <w:t>more actively in the patient’s health and social care with</w:t>
      </w:r>
      <w:r w:rsidRPr="428D294A">
        <w:rPr>
          <w:rFonts w:ascii="Arial" w:eastAsia="Arial" w:hAnsi="Arial" w:cs="Arial"/>
          <w:color w:val="000000" w:themeColor="text1"/>
          <w:sz w:val="22"/>
          <w:szCs w:val="22"/>
        </w:rPr>
        <w:t xml:space="preserve"> benefit</w:t>
      </w:r>
      <w:r>
        <w:rPr>
          <w:rFonts w:ascii="Arial" w:eastAsia="Arial" w:hAnsi="Arial" w:cs="Arial"/>
          <w:color w:val="000000" w:themeColor="text1"/>
          <w:sz w:val="22"/>
          <w:szCs w:val="22"/>
        </w:rPr>
        <w:t>s</w:t>
      </w:r>
      <w:r w:rsidRPr="428D294A">
        <w:rPr>
          <w:rFonts w:ascii="Arial" w:eastAsia="Arial" w:hAnsi="Arial" w:cs="Arial"/>
          <w:color w:val="000000" w:themeColor="text1"/>
          <w:sz w:val="22"/>
          <w:szCs w:val="22"/>
        </w:rPr>
        <w:t xml:space="preserve"> the patient’s care and </w:t>
      </w:r>
      <w:r>
        <w:rPr>
          <w:rFonts w:ascii="Arial" w:eastAsia="Arial" w:hAnsi="Arial" w:cs="Arial"/>
          <w:color w:val="000000" w:themeColor="text1"/>
          <w:sz w:val="22"/>
          <w:szCs w:val="22"/>
        </w:rPr>
        <w:t>relieving</w:t>
      </w:r>
      <w:r w:rsidRPr="428D294A">
        <w:rPr>
          <w:rFonts w:ascii="Arial" w:eastAsia="Arial" w:hAnsi="Arial" w:cs="Arial"/>
          <w:color w:val="000000" w:themeColor="text1"/>
          <w:sz w:val="22"/>
          <w:szCs w:val="22"/>
        </w:rPr>
        <w:t xml:space="preserve"> burden on healthcare staff. </w:t>
      </w:r>
      <w:r>
        <w:rPr>
          <w:rFonts w:ascii="Arial" w:eastAsia="Arial" w:hAnsi="Arial" w:cs="Arial"/>
          <w:color w:val="000000" w:themeColor="text1"/>
          <w:sz w:val="22"/>
          <w:szCs w:val="22"/>
        </w:rPr>
        <w:t xml:space="preserve"> </w:t>
      </w:r>
    </w:p>
    <w:p w14:paraId="7B446539" w14:textId="77777777"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There are circumstances where a practice may legitimately </w:t>
      </w:r>
      <w:proofErr w:type="spellStart"/>
      <w:r>
        <w:rPr>
          <w:rFonts w:ascii="Arial" w:hAnsi="Arial" w:cs="Arial Unicode MS"/>
          <w:color w:val="000000"/>
          <w:sz w:val="22"/>
          <w:szCs w:val="22"/>
          <w:u w:color="000000"/>
          <w14:textOutline w14:w="0" w14:cap="flat" w14:cmpd="sng" w14:algn="ctr">
            <w14:noFill/>
            <w14:prstDash w14:val="solid"/>
            <w14:bevel/>
          </w14:textOutline>
        </w:rPr>
        <w:t>authorise</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proxy access without the patient’s consent:</w:t>
      </w:r>
    </w:p>
    <w:p w14:paraId="1FE304C9" w14:textId="77777777" w:rsidR="00225E64" w:rsidRPr="00EA109B" w:rsidRDefault="00DC67A3" w:rsidP="00EA109B">
      <w:pPr>
        <w:numPr>
          <w:ilvl w:val="0"/>
          <w:numId w:val="8"/>
        </w:numPr>
        <w:spacing w:before="60" w:line="288" w:lineRule="auto"/>
        <w:ind w:left="714" w:hanging="357"/>
        <w:rPr>
          <w:rFonts w:ascii="Arial" w:hAnsi="Arial" w:cs="Arial"/>
          <w:color w:val="000000"/>
          <w:sz w:val="22"/>
          <w:szCs w:val="22"/>
          <w:u w:color="000000"/>
          <w14:textOutline w14:w="0" w14:cap="flat" w14:cmpd="sng" w14:algn="ctr">
            <w14:noFill/>
            <w14:prstDash w14:val="solid"/>
            <w14:bevel/>
          </w14:textOutline>
        </w:rPr>
      </w:pPr>
      <w:r w:rsidRPr="00EA109B">
        <w:rPr>
          <w:rFonts w:ascii="Arial" w:hAnsi="Arial" w:cs="Arial"/>
          <w:color w:val="000000"/>
          <w:sz w:val="22"/>
          <w:szCs w:val="22"/>
          <w:u w:color="000000"/>
          <w14:textOutline w14:w="0" w14:cap="flat" w14:cmpd="sng" w14:algn="ctr">
            <w14:noFill/>
            <w14:prstDash w14:val="solid"/>
            <w14:bevel/>
          </w14:textOutline>
        </w:rPr>
        <w:t xml:space="preserve">The patient has been assessed as lacking capacity to </w:t>
      </w:r>
      <w:proofErr w:type="gramStart"/>
      <w:r w:rsidRPr="00EA109B">
        <w:rPr>
          <w:rFonts w:ascii="Arial" w:hAnsi="Arial" w:cs="Arial"/>
          <w:color w:val="000000"/>
          <w:sz w:val="22"/>
          <w:szCs w:val="22"/>
          <w:u w:color="000000"/>
          <w14:textOutline w14:w="0" w14:cap="flat" w14:cmpd="sng" w14:algn="ctr">
            <w14:noFill/>
            <w14:prstDash w14:val="solid"/>
            <w14:bevel/>
          </w14:textOutline>
        </w:rPr>
        <w:t>make a decision</w:t>
      </w:r>
      <w:proofErr w:type="gramEnd"/>
      <w:r w:rsidRPr="00EA109B">
        <w:rPr>
          <w:rFonts w:ascii="Arial" w:hAnsi="Arial" w:cs="Arial"/>
          <w:color w:val="000000"/>
          <w:sz w:val="22"/>
          <w:szCs w:val="22"/>
          <w:u w:color="000000"/>
          <w14:textOutline w14:w="0" w14:cap="flat" w14:cmpd="sng" w14:algn="ctr">
            <w14:noFill/>
            <w14:prstDash w14:val="solid"/>
            <w14:bevel/>
          </w14:textOutline>
        </w:rPr>
        <w:t xml:space="preserve"> on granting proxy access and the applicant for proxy access has registered a lasting power of attorney for health and welfare with the Office of the Public Guardian</w:t>
      </w:r>
    </w:p>
    <w:p w14:paraId="2D115E91" w14:textId="77777777" w:rsidR="00225E64" w:rsidRPr="00EA109B" w:rsidRDefault="00DC67A3" w:rsidP="00EA109B">
      <w:pPr>
        <w:numPr>
          <w:ilvl w:val="0"/>
          <w:numId w:val="8"/>
        </w:numPr>
        <w:spacing w:before="60" w:line="288" w:lineRule="auto"/>
        <w:ind w:left="714" w:hanging="357"/>
        <w:rPr>
          <w:rFonts w:ascii="Arial" w:hAnsi="Arial" w:cs="Arial"/>
          <w:color w:val="000000"/>
          <w:sz w:val="22"/>
          <w:szCs w:val="22"/>
          <w:u w:color="000000"/>
          <w14:textOutline w14:w="0" w14:cap="flat" w14:cmpd="sng" w14:algn="ctr">
            <w14:noFill/>
            <w14:prstDash w14:val="solid"/>
            <w14:bevel/>
          </w14:textOutline>
        </w:rPr>
      </w:pPr>
      <w:r w:rsidRPr="00EA109B">
        <w:rPr>
          <w:rFonts w:ascii="Arial" w:hAnsi="Arial" w:cs="Arial"/>
          <w:color w:val="000000"/>
          <w:sz w:val="22"/>
          <w:szCs w:val="22"/>
          <w:u w:color="000000"/>
          <w14:textOutline w14:w="0" w14:cap="flat" w14:cmpd="sng" w14:algn="ctr">
            <w14:noFill/>
            <w14:prstDash w14:val="solid"/>
            <w14:bevel/>
          </w14:textOutline>
        </w:rPr>
        <w:t xml:space="preserve">The patient has been assessed as lacking capacity to </w:t>
      </w:r>
      <w:proofErr w:type="gramStart"/>
      <w:r w:rsidRPr="00EA109B">
        <w:rPr>
          <w:rFonts w:ascii="Arial" w:hAnsi="Arial" w:cs="Arial"/>
          <w:color w:val="000000"/>
          <w:sz w:val="22"/>
          <w:szCs w:val="22"/>
          <w:u w:color="000000"/>
          <w14:textOutline w14:w="0" w14:cap="flat" w14:cmpd="sng" w14:algn="ctr">
            <w14:noFill/>
            <w14:prstDash w14:val="solid"/>
            <w14:bevel/>
          </w14:textOutline>
        </w:rPr>
        <w:t>make a decision</w:t>
      </w:r>
      <w:proofErr w:type="gramEnd"/>
      <w:r w:rsidRPr="00EA109B">
        <w:rPr>
          <w:rFonts w:ascii="Arial" w:hAnsi="Arial" w:cs="Arial"/>
          <w:color w:val="000000"/>
          <w:sz w:val="22"/>
          <w:szCs w:val="22"/>
          <w:u w:color="000000"/>
          <w14:textOutline w14:w="0" w14:cap="flat" w14:cmpd="sng" w14:algn="ctr">
            <w14:noFill/>
            <w14:prstDash w14:val="solid"/>
            <w14:bevel/>
          </w14:textOutline>
        </w:rPr>
        <w:t xml:space="preserve"> on granting proxy access and the applicant is a Court Appointed Deputy on behalf of the patient</w:t>
      </w:r>
    </w:p>
    <w:p w14:paraId="74B3CC61" w14:textId="77777777" w:rsidR="00225E64" w:rsidRPr="00EA109B" w:rsidRDefault="00DC67A3" w:rsidP="00EA109B">
      <w:pPr>
        <w:numPr>
          <w:ilvl w:val="0"/>
          <w:numId w:val="8"/>
        </w:numPr>
        <w:spacing w:before="60" w:line="288" w:lineRule="auto"/>
        <w:ind w:left="714" w:hanging="357"/>
        <w:rPr>
          <w:rFonts w:ascii="Arial" w:hAnsi="Arial" w:cs="Arial"/>
          <w:color w:val="000000"/>
          <w:sz w:val="22"/>
          <w:szCs w:val="22"/>
          <w:u w:color="000000"/>
          <w14:textOutline w14:w="0" w14:cap="flat" w14:cmpd="sng" w14:algn="ctr">
            <w14:noFill/>
            <w14:prstDash w14:val="solid"/>
            <w14:bevel/>
          </w14:textOutline>
        </w:rPr>
      </w:pPr>
      <w:r w:rsidRPr="00EA109B">
        <w:rPr>
          <w:rFonts w:ascii="Arial" w:hAnsi="Arial" w:cs="Arial"/>
          <w:color w:val="000000"/>
          <w:sz w:val="22"/>
          <w:szCs w:val="22"/>
          <w:u w:color="000000"/>
          <w14:textOutline w14:w="0" w14:cap="flat" w14:cmpd="sng" w14:algn="ctr">
            <w14:noFill/>
            <w14:prstDash w14:val="solid"/>
            <w14:bevel/>
          </w14:textOutline>
        </w:rPr>
        <w:t xml:space="preserve">The patient has been assessed as lacking capacity to </w:t>
      </w:r>
      <w:proofErr w:type="gramStart"/>
      <w:r w:rsidRPr="00EA109B">
        <w:rPr>
          <w:rFonts w:ascii="Arial" w:hAnsi="Arial" w:cs="Arial"/>
          <w:color w:val="000000"/>
          <w:sz w:val="22"/>
          <w:szCs w:val="22"/>
          <w:u w:color="000000"/>
          <w14:textOutline w14:w="0" w14:cap="flat" w14:cmpd="sng" w14:algn="ctr">
            <w14:noFill/>
            <w14:prstDash w14:val="solid"/>
            <w14:bevel/>
          </w14:textOutline>
        </w:rPr>
        <w:t>make a decision</w:t>
      </w:r>
      <w:proofErr w:type="gramEnd"/>
      <w:r w:rsidRPr="00EA109B">
        <w:rPr>
          <w:rFonts w:ascii="Arial" w:hAnsi="Arial" w:cs="Arial"/>
          <w:color w:val="000000"/>
          <w:sz w:val="22"/>
          <w:szCs w:val="22"/>
          <w:u w:color="000000"/>
          <w14:textOutline w14:w="0" w14:cap="flat" w14:cmpd="sng" w14:algn="ctr">
            <w14:noFill/>
            <w14:prstDash w14:val="solid"/>
            <w14:bevel/>
          </w14:textOutline>
        </w:rPr>
        <w:t xml:space="preserve"> on granting proxy access and in accordance with the Mental Capacity Act 2005 code of practice the GP considers it in the patient’s best interests to grant the requested access to the applicant</w:t>
      </w:r>
    </w:p>
    <w:p w14:paraId="485186F0" w14:textId="41A3EFB9" w:rsidR="00225E64" w:rsidRPr="00EA109B" w:rsidRDefault="00DC67A3" w:rsidP="00EA109B">
      <w:pPr>
        <w:numPr>
          <w:ilvl w:val="0"/>
          <w:numId w:val="8"/>
        </w:numPr>
        <w:spacing w:before="60" w:line="288" w:lineRule="auto"/>
        <w:ind w:left="714" w:hanging="357"/>
        <w:rPr>
          <w:rFonts w:ascii="Arial" w:hAnsi="Arial" w:cs="Arial"/>
          <w:color w:val="000000"/>
          <w:sz w:val="22"/>
          <w:szCs w:val="22"/>
          <w14:textOutline w14:w="0" w14:cap="flat" w14:cmpd="sng" w14:algn="ctr">
            <w14:noFill/>
            <w14:prstDash w14:val="solid"/>
            <w14:bevel/>
          </w14:textOutline>
        </w:rPr>
      </w:pPr>
      <w:r w:rsidRPr="00EA109B">
        <w:rPr>
          <w:rFonts w:ascii="Arial" w:hAnsi="Arial" w:cs="Arial"/>
          <w:color w:val="000000"/>
          <w:sz w:val="22"/>
          <w:szCs w:val="22"/>
          <w14:textOutline w14:w="0" w14:cap="flat" w14:cmpd="sng" w14:algn="ctr">
            <w14:noFill/>
            <w14:prstDash w14:val="solid"/>
            <w14:bevel/>
          </w14:textOutline>
        </w:rPr>
        <w:t xml:space="preserve">The patient has been assessed as lacking capacity to </w:t>
      </w:r>
      <w:proofErr w:type="gramStart"/>
      <w:r w:rsidRPr="00EA109B">
        <w:rPr>
          <w:rFonts w:ascii="Arial" w:hAnsi="Arial" w:cs="Arial"/>
          <w:color w:val="000000"/>
          <w:sz w:val="22"/>
          <w:szCs w:val="22"/>
          <w14:textOutline w14:w="0" w14:cap="flat" w14:cmpd="sng" w14:algn="ctr">
            <w14:noFill/>
            <w14:prstDash w14:val="solid"/>
            <w14:bevel/>
          </w14:textOutline>
        </w:rPr>
        <w:t>make a decision</w:t>
      </w:r>
      <w:proofErr w:type="gramEnd"/>
      <w:r w:rsidRPr="00EA109B">
        <w:rPr>
          <w:rFonts w:ascii="Arial" w:hAnsi="Arial" w:cs="Arial"/>
          <w:color w:val="000000"/>
          <w:sz w:val="22"/>
          <w:szCs w:val="22"/>
          <w14:textOutline w14:w="0" w14:cap="flat" w14:cmpd="sng" w14:algn="ctr">
            <w14:noFill/>
            <w14:prstDash w14:val="solid"/>
            <w14:bevel/>
          </w14:textOutline>
        </w:rPr>
        <w:t xml:space="preserve"> on granting proxy access but there is a record of the patient having made an advance decision that the individual seeking proxy access may act as their proxy for GP </w:t>
      </w:r>
      <w:r w:rsidR="4B44E465">
        <w:rPr>
          <w:rFonts w:ascii="Arial" w:hAnsi="Arial" w:cs="Arial"/>
          <w:color w:val="000000"/>
          <w:sz w:val="22"/>
          <w:szCs w:val="22"/>
          <w14:textOutline w14:w="0" w14:cap="flat" w14:cmpd="sng" w14:algn="ctr">
            <w14:noFill/>
            <w14:prstDash w14:val="solid"/>
            <w14:bevel/>
          </w14:textOutline>
        </w:rPr>
        <w:t>O</w:t>
      </w:r>
      <w:r w:rsidRPr="00EA109B">
        <w:rPr>
          <w:rFonts w:ascii="Arial" w:hAnsi="Arial" w:cs="Arial"/>
          <w:color w:val="000000"/>
          <w:sz w:val="22"/>
          <w:szCs w:val="22"/>
          <w14:textOutline w14:w="0" w14:cap="flat" w14:cmpd="sng" w14:algn="ctr">
            <w14:noFill/>
            <w14:prstDash w14:val="solid"/>
            <w14:bevel/>
          </w14:textOutline>
        </w:rPr>
        <w:t xml:space="preserve">nline </w:t>
      </w:r>
      <w:r w:rsidR="63AB005C">
        <w:rPr>
          <w:rFonts w:ascii="Arial" w:hAnsi="Arial" w:cs="Arial"/>
          <w:color w:val="000000"/>
          <w:sz w:val="22"/>
          <w:szCs w:val="22"/>
          <w14:textOutline w14:w="0" w14:cap="flat" w14:cmpd="sng" w14:algn="ctr">
            <w14:noFill/>
            <w14:prstDash w14:val="solid"/>
            <w14:bevel/>
          </w14:textOutline>
        </w:rPr>
        <w:t>S</w:t>
      </w:r>
      <w:r w:rsidRPr="00EA109B">
        <w:rPr>
          <w:rFonts w:ascii="Arial" w:hAnsi="Arial" w:cs="Arial"/>
          <w:color w:val="000000"/>
          <w:sz w:val="22"/>
          <w:szCs w:val="22"/>
          <w14:textOutline w14:w="0" w14:cap="flat" w14:cmpd="sng" w14:algn="ctr">
            <w14:noFill/>
            <w14:prstDash w14:val="solid"/>
            <w14:bevel/>
          </w14:textOutline>
        </w:rPr>
        <w:t>erv</w:t>
      </w:r>
      <w:r w:rsidR="2E8BAD35" w:rsidRPr="00EA109B">
        <w:rPr>
          <w:rFonts w:ascii="Arial" w:hAnsi="Arial" w:cs="Arial"/>
          <w:color w:val="000000"/>
          <w:sz w:val="22"/>
          <w:szCs w:val="22"/>
          <w14:textOutline w14:w="0" w14:cap="flat" w14:cmpd="sng" w14:algn="ctr">
            <w14:noFill/>
            <w14:prstDash w14:val="solid"/>
            <w14:bevel/>
          </w14:textOutline>
        </w:rPr>
        <w:t>i</w:t>
      </w:r>
      <w:r w:rsidRPr="00EA109B">
        <w:rPr>
          <w:rFonts w:ascii="Arial" w:hAnsi="Arial" w:cs="Arial"/>
          <w:color w:val="000000"/>
          <w:sz w:val="22"/>
          <w:szCs w:val="22"/>
          <w14:textOutline w14:w="0" w14:cap="flat" w14:cmpd="sng" w14:algn="ctr">
            <w14:noFill/>
            <w14:prstDash w14:val="solid"/>
            <w14:bevel/>
          </w14:textOutline>
        </w:rPr>
        <w:t>ces</w:t>
      </w:r>
      <w:r w:rsidRPr="00EA109B">
        <w:rPr>
          <w:rFonts w:ascii="Arial" w:hAnsi="Arial" w:cs="Arial"/>
          <w:color w:val="000000"/>
          <w:sz w:val="22"/>
          <w:szCs w:val="22"/>
          <w14:textOutline w14:w="0" w14:cap="flat" w14:cmpd="sng" w14:algn="ctr">
            <w14:noFill/>
            <w14:prstDash w14:val="solid"/>
            <w14:bevel/>
          </w14:textOutline>
        </w:rPr>
        <w:t>.</w:t>
      </w:r>
    </w:p>
    <w:p w14:paraId="566724EC" w14:textId="750A15B6" w:rsidR="00225E64" w:rsidRPr="00EA109B" w:rsidRDefault="00DC67A3" w:rsidP="00EA109B">
      <w:pPr>
        <w:numPr>
          <w:ilvl w:val="0"/>
          <w:numId w:val="8"/>
        </w:numPr>
        <w:spacing w:before="60" w:line="288" w:lineRule="auto"/>
        <w:ind w:left="714" w:hanging="357"/>
        <w:rPr>
          <w:rFonts w:ascii="Arial" w:hAnsi="Arial" w:cs="Arial"/>
          <w:color w:val="000000"/>
          <w:sz w:val="22"/>
          <w:szCs w:val="22"/>
          <w14:textOutline w14:w="0" w14:cap="flat" w14:cmpd="sng" w14:algn="ctr">
            <w14:noFill/>
            <w14:prstDash w14:val="solid"/>
            <w14:bevel/>
          </w14:textOutline>
        </w:rPr>
      </w:pPr>
      <w:r w:rsidRPr="00EA109B">
        <w:rPr>
          <w:rFonts w:ascii="Arial" w:hAnsi="Arial" w:cs="Arial"/>
          <w:color w:val="000000"/>
          <w:sz w:val="22"/>
          <w:szCs w:val="22"/>
          <w14:textOutline w14:w="0" w14:cap="flat" w14:cmpd="sng" w14:algn="ctr">
            <w14:noFill/>
            <w14:prstDash w14:val="solid"/>
            <w14:bevel/>
          </w14:textOutline>
        </w:rPr>
        <w:t xml:space="preserve">The patient is a child before their 11th birthday </w:t>
      </w:r>
      <w:r w:rsidR="00553100">
        <w:rPr>
          <w:rFonts w:ascii="Arial" w:hAnsi="Arial" w:cs="Arial"/>
          <w:color w:val="000000"/>
          <w:sz w:val="22"/>
          <w:szCs w:val="22"/>
          <w14:textOutline w14:w="0" w14:cap="flat" w14:cmpd="sng" w14:algn="ctr">
            <w14:noFill/>
            <w14:prstDash w14:val="solid"/>
            <w14:bevel/>
          </w14:textOutline>
        </w:rPr>
        <w:t>is not</w:t>
      </w:r>
      <w:r w:rsidRPr="00EA109B">
        <w:rPr>
          <w:rFonts w:ascii="Arial" w:hAnsi="Arial" w:cs="Arial"/>
          <w:color w:val="000000"/>
          <w:sz w:val="22"/>
          <w:szCs w:val="22"/>
          <w14:textOutline w14:w="0" w14:cap="flat" w14:cmpd="sng" w14:algn="ctr">
            <w14:noFill/>
            <w14:prstDash w14:val="solid"/>
            <w14:bevel/>
          </w14:textOutline>
        </w:rPr>
        <w:t xml:space="preserve"> competent (for example a baby) to </w:t>
      </w:r>
      <w:proofErr w:type="gramStart"/>
      <w:r w:rsidRPr="00EA109B">
        <w:rPr>
          <w:rFonts w:ascii="Arial" w:hAnsi="Arial" w:cs="Arial"/>
          <w:color w:val="000000"/>
          <w:sz w:val="22"/>
          <w:szCs w:val="22"/>
          <w14:textOutline w14:w="0" w14:cap="flat" w14:cmpd="sng" w14:algn="ctr">
            <w14:noFill/>
            <w14:prstDash w14:val="solid"/>
            <w14:bevel/>
          </w14:textOutline>
        </w:rPr>
        <w:t>make a decision</w:t>
      </w:r>
      <w:proofErr w:type="gramEnd"/>
      <w:r w:rsidRPr="00EA109B">
        <w:rPr>
          <w:rFonts w:ascii="Arial" w:hAnsi="Arial" w:cs="Arial"/>
          <w:color w:val="000000"/>
          <w:sz w:val="22"/>
          <w:szCs w:val="22"/>
          <w14:textOutline w14:w="0" w14:cap="flat" w14:cmpd="sng" w14:algn="ctr">
            <w14:noFill/>
            <w14:prstDash w14:val="solid"/>
            <w14:bevel/>
          </w14:textOutline>
        </w:rPr>
        <w:t xml:space="preserve"> on granting proxy access</w:t>
      </w:r>
    </w:p>
    <w:p w14:paraId="7F3AFB85" w14:textId="60597F3E" w:rsidR="00225E64" w:rsidRPr="00EA109B" w:rsidRDefault="00DC67A3" w:rsidP="00EA109B">
      <w:pPr>
        <w:numPr>
          <w:ilvl w:val="0"/>
          <w:numId w:val="8"/>
        </w:numPr>
        <w:spacing w:before="60" w:line="288" w:lineRule="auto"/>
        <w:ind w:left="714" w:hanging="357"/>
        <w:rPr>
          <w:rFonts w:ascii="Arial" w:hAnsi="Arial" w:cs="Arial"/>
          <w:color w:val="000000"/>
          <w:sz w:val="22"/>
          <w:szCs w:val="22"/>
          <w14:textOutline w14:w="0" w14:cap="flat" w14:cmpd="sng" w14:algn="ctr">
            <w14:noFill/>
            <w14:prstDash w14:val="solid"/>
            <w14:bevel/>
          </w14:textOutline>
        </w:rPr>
      </w:pPr>
      <w:r w:rsidRPr="00EA109B">
        <w:rPr>
          <w:rFonts w:ascii="Arial" w:hAnsi="Arial" w:cs="Arial"/>
          <w:color w:val="000000" w:themeColor="text1"/>
          <w:sz w:val="22"/>
          <w:szCs w:val="22"/>
        </w:rPr>
        <w:t>If the applicant is a health professional who has a legitimate relationship with the patient for providing direct care to them, such as a nurse working in a nursing home</w:t>
      </w:r>
    </w:p>
    <w:p w14:paraId="04CA9287" w14:textId="1CDFD775" w:rsidR="00831265" w:rsidRPr="00831265" w:rsidRDefault="00831265" w:rsidP="00BD3568">
      <w:pPr>
        <w:spacing w:before="120" w:line="288" w:lineRule="auto"/>
        <w:rPr>
          <w:rFonts w:ascii="Arial" w:eastAsia="Arial" w:hAnsi="Arial" w:cs="Arial"/>
          <w:color w:val="00B050"/>
          <w:sz w:val="22"/>
          <w:szCs w:val="22"/>
          <w:u w:color="000000"/>
          <w14:textOutline w14:w="0" w14:cap="flat" w14:cmpd="sng" w14:algn="ctr">
            <w14:noFill/>
            <w14:prstDash w14:val="solid"/>
            <w14:bevel/>
          </w14:textOutline>
        </w:rPr>
      </w:pPr>
      <w:r w:rsidRPr="00C71478">
        <w:rPr>
          <w:rFonts w:ascii="Webdings" w:hAnsi="Webdings" w:cs="Arial Unicode MS"/>
          <w:color w:val="00B050"/>
          <w:sz w:val="22"/>
          <w:szCs w:val="22"/>
          <w14:textOutline w14:w="0" w14:cap="flat" w14:cmpd="sng" w14:algn="ctr">
            <w14:noFill/>
            <w14:prstDash w14:val="solid"/>
            <w14:bevel/>
          </w14:textOutline>
        </w:rPr>
        <w:t>i</w:t>
      </w:r>
      <w:r w:rsidRPr="007B7C2A">
        <w:rPr>
          <w:rFonts w:ascii="Arial" w:hAnsi="Arial" w:cs="Arial Unicode MS"/>
          <w:color w:val="00B050"/>
          <w:sz w:val="22"/>
          <w:szCs w:val="22"/>
          <w:u w:color="000000"/>
          <w14:textOutline w14:w="0" w14:cap="flat" w14:cmpd="sng" w14:algn="ctr">
            <w14:noFill/>
            <w14:prstDash w14:val="solid"/>
            <w14:bevel/>
          </w14:textOutline>
        </w:rPr>
        <w:t xml:space="preserve"> </w:t>
      </w:r>
      <w:r w:rsidRPr="00087FD8">
        <w:rPr>
          <w:rFonts w:ascii="Arial" w:hAnsi="Arial" w:cs="Arial Unicode MS"/>
          <w:sz w:val="22"/>
          <w:szCs w:val="22"/>
          <w:u w:color="000000"/>
          <w14:textOutline w14:w="0" w14:cap="flat" w14:cmpd="sng" w14:algn="ctr">
            <w14:noFill/>
            <w14:prstDash w14:val="solid"/>
            <w14:bevel/>
          </w14:textOutline>
        </w:rPr>
        <w:t>There is more information about this in the guidance on “</w:t>
      </w:r>
      <w:hyperlink r:id="rId21" w:history="1">
        <w:r w:rsidRPr="00087FD8">
          <w:rPr>
            <w:rStyle w:val="Hyperlink"/>
            <w:rFonts w:ascii="Arial" w:hAnsi="Arial" w:cs="Arial Unicode MS"/>
            <w:sz w:val="22"/>
            <w:szCs w:val="22"/>
            <w14:textOutline w14:w="0" w14:cap="flat" w14:cmpd="sng" w14:algn="ctr">
              <w14:noFill/>
              <w14:prstDash w14:val="solid"/>
              <w14:bevel/>
            </w14:textOutline>
          </w:rPr>
          <w:t>Children and Young People</w:t>
        </w:r>
      </w:hyperlink>
      <w:r w:rsidRPr="00087FD8">
        <w:rPr>
          <w:rFonts w:ascii="Arial" w:hAnsi="Arial" w:cs="Arial Unicode MS"/>
          <w:sz w:val="22"/>
          <w:szCs w:val="22"/>
          <w:u w:color="000000"/>
          <w14:textOutline w14:w="0" w14:cap="flat" w14:cmpd="sng" w14:algn="ctr">
            <w14:noFill/>
            <w14:prstDash w14:val="solid"/>
            <w14:bevel/>
          </w14:textOutline>
        </w:rPr>
        <w:t>” in the Toolkit.</w:t>
      </w:r>
    </w:p>
    <w:p w14:paraId="1E94B1A9" w14:textId="2CF9C36A"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It is important to remember that mental capacity may fluctuate.  A patient may not be able to understand the issues and </w:t>
      </w:r>
      <w:proofErr w:type="gramStart"/>
      <w:r>
        <w:rPr>
          <w:rFonts w:ascii="Arial" w:hAnsi="Arial" w:cs="Arial Unicode MS"/>
          <w:color w:val="000000"/>
          <w:sz w:val="22"/>
          <w:szCs w:val="22"/>
          <w:u w:color="000000"/>
          <w14:textOutline w14:w="0" w14:cap="flat" w14:cmpd="sng" w14:algn="ctr">
            <w14:noFill/>
            <w14:prstDash w14:val="solid"/>
            <w14:bevel/>
          </w14:textOutline>
        </w:rPr>
        <w:t>make a decision</w:t>
      </w:r>
      <w:proofErr w:type="gramEnd"/>
      <w:r>
        <w:rPr>
          <w:rFonts w:ascii="Arial" w:hAnsi="Arial" w:cs="Arial Unicode MS"/>
          <w:color w:val="000000"/>
          <w:sz w:val="22"/>
          <w:szCs w:val="22"/>
          <w:u w:color="000000"/>
          <w14:textOutline w14:w="0" w14:cap="flat" w14:cmpd="sng" w14:algn="ctr">
            <w14:noFill/>
            <w14:prstDash w14:val="solid"/>
            <w14:bevel/>
          </w14:textOutline>
        </w:rPr>
        <w:t xml:space="preserve"> on one day but may be able to do so under different circumstances on another day. </w:t>
      </w:r>
      <w:r w:rsidR="00553100">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In this context lack of capacity implies permanent lack of capacity.</w:t>
      </w:r>
    </w:p>
    <w:p w14:paraId="1581AF78" w14:textId="77777777" w:rsidR="00225E64" w:rsidRPr="007B7C2A"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sidRPr="007B7C2A">
        <w:rPr>
          <w:rFonts w:ascii="Arial" w:hAnsi="Arial" w:cs="Arial Unicode MS"/>
          <w:color w:val="000000"/>
          <w:sz w:val="22"/>
          <w:szCs w:val="22"/>
          <w:u w:color="000000"/>
          <w14:textOutline w14:w="0" w14:cap="flat" w14:cmpd="sng" w14:algn="ctr">
            <w14:noFill/>
            <w14:prstDash w14:val="solid"/>
            <w14:bevel/>
          </w14:textOutline>
        </w:rPr>
        <w:lastRenderedPageBreak/>
        <w:t xml:space="preserve">If there is uncertainty about the patient's capacity to consent, the practice must satisfy themselves that the patient </w:t>
      </w:r>
      <w:proofErr w:type="gramStart"/>
      <w:r w:rsidRPr="007B7C2A">
        <w:rPr>
          <w:rFonts w:ascii="Arial" w:hAnsi="Arial" w:cs="Arial Unicode MS"/>
          <w:color w:val="000000"/>
          <w:sz w:val="22"/>
          <w:szCs w:val="22"/>
          <w:u w:color="000000"/>
          <w14:textOutline w14:w="0" w14:cap="flat" w14:cmpd="sng" w14:algn="ctr">
            <w14:noFill/>
            <w14:prstDash w14:val="solid"/>
            <w14:bevel/>
          </w14:textOutline>
        </w:rPr>
        <w:t>is capable of giving</w:t>
      </w:r>
      <w:proofErr w:type="gramEnd"/>
      <w:r w:rsidRPr="007B7C2A">
        <w:rPr>
          <w:rFonts w:ascii="Arial" w:hAnsi="Arial" w:cs="Arial Unicode MS"/>
          <w:color w:val="000000"/>
          <w:sz w:val="22"/>
          <w:szCs w:val="22"/>
          <w:u w:color="000000"/>
          <w14:textOutline w14:w="0" w14:cap="flat" w14:cmpd="sng" w14:algn="ctr">
            <w14:noFill/>
            <w14:prstDash w14:val="solid"/>
            <w14:bevel/>
          </w14:textOutline>
        </w:rPr>
        <w:t xml:space="preserve"> consent.  This may require a formal assessment of capacity in line with the Mental Capacity Act 2005.</w:t>
      </w:r>
    </w:p>
    <w:p w14:paraId="1B168F9C" w14:textId="1E9BA12C" w:rsidR="00225E64" w:rsidRPr="007B7C2A" w:rsidRDefault="00181150" w:rsidP="3C88EF7B">
      <w:pPr>
        <w:spacing w:before="120" w:line="288" w:lineRule="auto"/>
        <w:rPr>
          <w:rFonts w:ascii="Arial" w:eastAsia="Arial" w:hAnsi="Arial" w:cs="Arial"/>
          <w:color w:val="000000"/>
          <w:sz w:val="22"/>
          <w:szCs w:val="22"/>
          <w14:textOutline w14:w="0" w14:cap="flat" w14:cmpd="sng" w14:algn="ctr">
            <w14:noFill/>
            <w14:prstDash w14:val="solid"/>
            <w14:bevel/>
          </w14:textOutline>
        </w:rPr>
      </w:pPr>
      <w:r w:rsidRPr="007B7C2A">
        <w:rPr>
          <w:rFonts w:ascii="Arial" w:eastAsia="Arial" w:hAnsi="Arial" w:cs="Arial"/>
          <w:color w:val="000000" w:themeColor="text1"/>
          <w:sz w:val="22"/>
          <w:szCs w:val="22"/>
        </w:rPr>
        <w:t>When the patient lacks capacity and</w:t>
      </w:r>
      <w:r w:rsidR="3C88EF7B" w:rsidRPr="007B7C2A">
        <w:rPr>
          <w:rFonts w:ascii="Arial" w:eastAsia="Arial" w:hAnsi="Arial" w:cs="Arial"/>
          <w:color w:val="000000" w:themeColor="text1"/>
          <w:sz w:val="22"/>
          <w:szCs w:val="22"/>
        </w:rPr>
        <w:t xml:space="preserve"> is unable to consent there is a need to carefully weigh the balance of benefits to the patient against the risks described in this guidance to make a decision that is believed to be in the patient’s best interests. </w:t>
      </w:r>
      <w:r w:rsidR="002C118C" w:rsidRPr="007B7C2A">
        <w:rPr>
          <w:rFonts w:ascii="Arial" w:eastAsia="Arial" w:hAnsi="Arial" w:cs="Arial"/>
          <w:color w:val="000000" w:themeColor="text1"/>
          <w:sz w:val="22"/>
          <w:szCs w:val="22"/>
        </w:rPr>
        <w:t xml:space="preserve"> </w:t>
      </w:r>
      <w:r w:rsidR="3C88EF7B" w:rsidRPr="007B7C2A">
        <w:rPr>
          <w:rFonts w:ascii="Arial" w:eastAsia="Arial" w:hAnsi="Arial" w:cs="Arial"/>
          <w:color w:val="000000" w:themeColor="text1"/>
          <w:sz w:val="22"/>
          <w:szCs w:val="22"/>
        </w:rPr>
        <w:t>This may require careful discussion with the patient’s family or person(s) named in a power of attorney or with a Court Appointed Deputy.</w:t>
      </w:r>
    </w:p>
    <w:p w14:paraId="6D23E3D4" w14:textId="5382CFCD"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When someone is applying for proxy access </w:t>
      </w:r>
      <w:proofErr w:type="gramStart"/>
      <w:r>
        <w:rPr>
          <w:rFonts w:ascii="Arial" w:hAnsi="Arial" w:cs="Arial Unicode MS"/>
          <w:color w:val="000000"/>
          <w:sz w:val="22"/>
          <w:szCs w:val="22"/>
          <w:u w:color="000000"/>
          <w14:textOutline w14:w="0" w14:cap="flat" w14:cmpd="sng" w14:algn="ctr">
            <w14:noFill/>
            <w14:prstDash w14:val="solid"/>
            <w14:bevel/>
          </w14:textOutline>
        </w:rPr>
        <w:t>on the basis of</w:t>
      </w:r>
      <w:proofErr w:type="gramEnd"/>
      <w:r>
        <w:rPr>
          <w:rFonts w:ascii="Arial" w:hAnsi="Arial" w:cs="Arial Unicode MS"/>
          <w:color w:val="000000"/>
          <w:sz w:val="22"/>
          <w:szCs w:val="22"/>
          <w:u w:color="000000"/>
          <w14:textOutline w14:w="0" w14:cap="flat" w14:cmpd="sng" w14:algn="ctr">
            <w14:noFill/>
            <w14:prstDash w14:val="solid"/>
            <w14:bevel/>
          </w14:textOutline>
        </w:rPr>
        <w:t xml:space="preserve"> an enduring power of attorney, a lasting power of attorney, or as a Court Appointed Deputy, their status should be verified by making an online check of the registers held by the Office of the Public Guardian. </w:t>
      </w:r>
      <w:r w:rsidR="00181150">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This is a free service. </w:t>
      </w:r>
      <w:r w:rsidR="002C118C">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The result </w:t>
      </w:r>
      <w:r w:rsidR="00240A9D">
        <w:rPr>
          <w:rFonts w:ascii="Arial" w:hAnsi="Arial" w:cs="Arial Unicode MS"/>
          <w:color w:val="000000"/>
          <w:sz w:val="22"/>
          <w:szCs w:val="22"/>
          <w:u w:color="000000"/>
          <w14:textOutline w14:w="0" w14:cap="flat" w14:cmpd="sng" w14:algn="ctr">
            <w14:noFill/>
            <w14:prstDash w14:val="solid"/>
            <w14:bevel/>
          </w14:textOutline>
        </w:rPr>
        <w:t xml:space="preserve">and date </w:t>
      </w:r>
      <w:r>
        <w:rPr>
          <w:rFonts w:ascii="Arial" w:hAnsi="Arial" w:cs="Arial Unicode MS"/>
          <w:color w:val="000000"/>
          <w:sz w:val="22"/>
          <w:szCs w:val="22"/>
          <w:u w:color="000000"/>
          <w14:textOutline w14:w="0" w14:cap="flat" w14:cmpd="sng" w14:algn="ctr">
            <w14:noFill/>
            <w14:prstDash w14:val="solid"/>
            <w14:bevel/>
          </w14:textOutline>
        </w:rPr>
        <w:t>of the check should be recorded in the patient’s record.</w:t>
      </w:r>
    </w:p>
    <w:p w14:paraId="60061E4C" w14:textId="518E7C13" w:rsidR="00225E64" w:rsidRDefault="6477FABE"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Proxy access should only be granted to named individuals and only for as long as the individual is responsible for the care of the patient. Before switching on proxy access the practice should redact any data that they suspect the patient may want to remain confidential.</w:t>
      </w:r>
    </w:p>
    <w:p w14:paraId="6C960018" w14:textId="77777777" w:rsidR="00553100" w:rsidRPr="00553100" w:rsidRDefault="00553100" w:rsidP="00BD3568">
      <w:pPr>
        <w:spacing w:before="120" w:line="288" w:lineRule="auto"/>
        <w:rPr>
          <w:rFonts w:ascii="Arial" w:hAnsi="Arial" w:cs="Arial"/>
          <w:color w:val="000000" w:themeColor="text1"/>
          <w:sz w:val="22"/>
          <w:szCs w:val="22"/>
          <w:u w:color="000000"/>
          <w14:textOutline w14:w="0" w14:cap="flat" w14:cmpd="sng" w14:algn="ctr">
            <w14:noFill/>
            <w14:prstDash w14:val="solid"/>
            <w14:bevel/>
          </w14:textOutline>
        </w:rPr>
      </w:pPr>
    </w:p>
    <w:p w14:paraId="48182569" w14:textId="0B12D585" w:rsidR="00225E64" w:rsidRPr="002B7E89" w:rsidRDefault="00DC67A3" w:rsidP="002B7E89">
      <w:pPr>
        <w:pStyle w:val="ListParagraph"/>
        <w:numPr>
          <w:ilvl w:val="0"/>
          <w:numId w:val="13"/>
        </w:numPr>
        <w:spacing w:before="120" w:line="288" w:lineRule="auto"/>
        <w:rPr>
          <w:rFonts w:ascii="Lato" w:hAnsi="Lato"/>
          <w:color w:val="000000" w:themeColor="text1"/>
          <w:sz w:val="32"/>
          <w:szCs w:val="32"/>
        </w:rPr>
      </w:pPr>
      <w:r w:rsidRPr="002B7E89">
        <w:rPr>
          <w:rFonts w:ascii="Lato" w:hAnsi="Lato" w:cs="Arial Unicode MS"/>
          <w:color w:val="000000" w:themeColor="text1"/>
          <w:sz w:val="32"/>
          <w:szCs w:val="32"/>
        </w:rPr>
        <w:t xml:space="preserve">Planning for future loss of capacity </w:t>
      </w:r>
    </w:p>
    <w:p w14:paraId="73A868EE" w14:textId="219B9565"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Loss of capacity to decide whether to consent to proxy access can be anticipated in some clinical scenarios. Dementia and approaching end of life care are two examples where it can be helpful to </w:t>
      </w:r>
      <w:r w:rsidR="00553100">
        <w:rPr>
          <w:rFonts w:ascii="Arial" w:hAnsi="Arial" w:cs="Arial Unicode MS"/>
          <w:color w:val="000000"/>
          <w:sz w:val="22"/>
          <w:szCs w:val="22"/>
          <w:u w:color="000000"/>
          <w14:textOutline w14:w="0" w14:cap="flat" w14:cmpd="sng" w14:algn="ctr">
            <w14:noFill/>
            <w14:prstDash w14:val="solid"/>
            <w14:bevel/>
          </w14:textOutline>
        </w:rPr>
        <w:t>discuss</w:t>
      </w:r>
      <w:r>
        <w:rPr>
          <w:rFonts w:ascii="Arial" w:hAnsi="Arial" w:cs="Arial Unicode MS"/>
          <w:color w:val="000000"/>
          <w:sz w:val="22"/>
          <w:szCs w:val="22"/>
          <w:u w:color="000000"/>
          <w14:textOutline w14:w="0" w14:cap="flat" w14:cmpd="sng" w14:algn="ctr">
            <w14:noFill/>
            <w14:prstDash w14:val="solid"/>
            <w14:bevel/>
          </w14:textOutline>
        </w:rPr>
        <w:t xml:space="preserve"> the value of future proxy access. </w:t>
      </w:r>
      <w:r w:rsidR="00181150">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Understanding the patient's preferences about it is an important part of advanced care planning. A clear record of the patient's choice can be very helpful if a decision to allow proxy access </w:t>
      </w:r>
      <w:proofErr w:type="gramStart"/>
      <w:r>
        <w:rPr>
          <w:rFonts w:ascii="Arial" w:hAnsi="Arial" w:cs="Arial Unicode MS"/>
          <w:color w:val="000000"/>
          <w:sz w:val="22"/>
          <w:szCs w:val="22"/>
          <w:u w:color="000000"/>
          <w14:textOutline w14:w="0" w14:cap="flat" w14:cmpd="sng" w14:algn="ctr">
            <w14:noFill/>
            <w14:prstDash w14:val="solid"/>
            <w14:bevel/>
          </w14:textOutline>
        </w:rPr>
        <w:t>has to</w:t>
      </w:r>
      <w:proofErr w:type="gramEnd"/>
      <w:r>
        <w:rPr>
          <w:rFonts w:ascii="Arial" w:hAnsi="Arial" w:cs="Arial Unicode MS"/>
          <w:color w:val="000000"/>
          <w:sz w:val="22"/>
          <w:szCs w:val="22"/>
          <w:u w:color="000000"/>
          <w14:textOutline w14:w="0" w14:cap="flat" w14:cmpd="sng" w14:algn="ctr">
            <w14:noFill/>
            <w14:prstDash w14:val="solid"/>
            <w14:bevel/>
          </w14:textOutline>
        </w:rPr>
        <w:t xml:space="preserve"> be made after the patient has lost the capacity to consent.</w:t>
      </w:r>
    </w:p>
    <w:p w14:paraId="7D3C9AEA" w14:textId="37BC4252" w:rsidR="00225E64" w:rsidRPr="007B7C2A" w:rsidRDefault="0069027B" w:rsidP="00BD3568">
      <w:pPr>
        <w:spacing w:before="120" w:line="288" w:lineRule="auto"/>
        <w:rPr>
          <w:rFonts w:ascii="Arial" w:eastAsia="Arial" w:hAnsi="Arial" w:cs="Arial"/>
          <w:color w:val="00B050"/>
          <w:sz w:val="22"/>
          <w:szCs w:val="22"/>
          <w14:textOutline w14:w="0" w14:cap="flat" w14:cmpd="sng" w14:algn="ctr">
            <w14:noFill/>
            <w14:prstDash w14:val="solid"/>
            <w14:bevel/>
          </w14:textOutline>
        </w:rPr>
      </w:pPr>
      <w:r w:rsidRPr="00C71478">
        <w:rPr>
          <w:rFonts w:ascii="Webdings" w:hAnsi="Webdings" w:cs="Arial Unicode MS"/>
          <w:color w:val="00B050"/>
          <w:sz w:val="22"/>
          <w:szCs w:val="22"/>
          <w14:textOutline w14:w="0" w14:cap="flat" w14:cmpd="sng" w14:algn="ctr">
            <w14:noFill/>
            <w14:prstDash w14:val="solid"/>
            <w14:bevel/>
          </w14:textOutline>
        </w:rPr>
        <w:t>i</w:t>
      </w:r>
      <w:r w:rsidRPr="007B7C2A">
        <w:rPr>
          <w:rFonts w:ascii="Arial" w:hAnsi="Arial" w:cs="Arial Unicode MS"/>
          <w:color w:val="00B050"/>
          <w:sz w:val="22"/>
          <w:szCs w:val="22"/>
          <w14:textOutline w14:w="0" w14:cap="flat" w14:cmpd="sng" w14:algn="ctr">
            <w14:noFill/>
            <w14:prstDash w14:val="solid"/>
            <w14:bevel/>
          </w14:textOutline>
        </w:rPr>
        <w:t xml:space="preserve"> </w:t>
      </w:r>
      <w:r w:rsidR="2CC83FBA" w:rsidRPr="0069027B">
        <w:rPr>
          <w:rFonts w:ascii="Arial" w:hAnsi="Arial" w:cs="Arial Unicode MS"/>
          <w:sz w:val="22"/>
          <w:szCs w:val="22"/>
          <w14:textOutline w14:w="0" w14:cap="flat" w14:cmpd="sng" w14:algn="ctr">
            <w14:noFill/>
            <w14:prstDash w14:val="solid"/>
            <w14:bevel/>
          </w14:textOutline>
        </w:rPr>
        <w:t xml:space="preserve">There is a </w:t>
      </w:r>
      <w:hyperlink r:id="rId22" w:history="1">
        <w:r w:rsidR="2CC83FBA" w:rsidRPr="000E2892">
          <w:rPr>
            <w:rStyle w:val="Hyperlink"/>
            <w:rFonts w:ascii="Arial" w:hAnsi="Arial" w:cs="Arial Unicode MS"/>
            <w:sz w:val="22"/>
            <w:szCs w:val="22"/>
            <w14:textOutline w14:w="0" w14:cap="flat" w14:cmpd="sng" w14:algn="ctr">
              <w14:noFill/>
              <w14:prstDash w14:val="solid"/>
              <w14:bevel/>
            </w14:textOutline>
          </w:rPr>
          <w:t>leaflet</w:t>
        </w:r>
      </w:hyperlink>
      <w:r w:rsidR="2CC83FBA" w:rsidRPr="0069027B">
        <w:rPr>
          <w:rFonts w:ascii="Arial" w:hAnsi="Arial" w:cs="Arial Unicode MS"/>
          <w:sz w:val="22"/>
          <w:szCs w:val="22"/>
          <w14:textOutline w14:w="0" w14:cap="flat" w14:cmpd="sng" w14:algn="ctr">
            <w14:noFill/>
            <w14:prstDash w14:val="solid"/>
            <w14:bevel/>
          </w14:textOutline>
        </w:rPr>
        <w:t xml:space="preserve"> designed and written in co-operation with Dementia UK for </w:t>
      </w:r>
      <w:proofErr w:type="spellStart"/>
      <w:r w:rsidR="2CC83FBA" w:rsidRPr="0069027B">
        <w:rPr>
          <w:rFonts w:ascii="Arial" w:hAnsi="Arial" w:cs="Arial Unicode MS"/>
          <w:sz w:val="22"/>
          <w:szCs w:val="22"/>
          <w14:textOutline w14:w="0" w14:cap="flat" w14:cmpd="sng" w14:algn="ctr">
            <w14:noFill/>
            <w14:prstDash w14:val="solid"/>
            <w14:bevel/>
          </w14:textOutline>
        </w:rPr>
        <w:t>carers</w:t>
      </w:r>
      <w:proofErr w:type="spellEnd"/>
      <w:r w:rsidR="2CC83FBA" w:rsidRPr="0069027B">
        <w:rPr>
          <w:rFonts w:ascii="Arial" w:hAnsi="Arial" w:cs="Arial Unicode MS"/>
          <w:sz w:val="22"/>
          <w:szCs w:val="22"/>
          <w14:textOutline w14:w="0" w14:cap="flat" w14:cmpd="sng" w14:algn="ctr">
            <w14:noFill/>
            <w14:prstDash w14:val="solid"/>
            <w14:bevel/>
          </w14:textOutline>
        </w:rPr>
        <w:t xml:space="preserve"> to explain proxy access for people who are losing capacity in the </w:t>
      </w:r>
      <w:r w:rsidR="00553100" w:rsidRPr="0069027B">
        <w:rPr>
          <w:rFonts w:ascii="Arial" w:hAnsi="Arial" w:cs="Arial Unicode MS"/>
          <w:sz w:val="22"/>
          <w:szCs w:val="22"/>
          <w14:textOutline w14:w="0" w14:cap="flat" w14:cmpd="sng" w14:algn="ctr">
            <w14:noFill/>
            <w14:prstDash w14:val="solid"/>
            <w14:bevel/>
          </w14:textOutline>
        </w:rPr>
        <w:t xml:space="preserve">section of the </w:t>
      </w:r>
      <w:r w:rsidR="2CC83FBA" w:rsidRPr="0069027B">
        <w:rPr>
          <w:rFonts w:ascii="Arial" w:hAnsi="Arial" w:cs="Arial Unicode MS"/>
          <w:sz w:val="22"/>
          <w:szCs w:val="22"/>
          <w14:textOutline w14:w="0" w14:cap="flat" w14:cmpd="sng" w14:algn="ctr">
            <w14:noFill/>
            <w14:prstDash w14:val="solid"/>
            <w14:bevel/>
          </w14:textOutline>
        </w:rPr>
        <w:t>Toolkit</w:t>
      </w:r>
      <w:r w:rsidR="00553100" w:rsidRPr="0069027B">
        <w:rPr>
          <w:rFonts w:ascii="Arial" w:hAnsi="Arial" w:cs="Arial Unicode MS"/>
          <w:sz w:val="22"/>
          <w:szCs w:val="22"/>
          <w14:textOutline w14:w="0" w14:cap="flat" w14:cmpd="sng" w14:algn="ctr">
            <w14:noFill/>
            <w14:prstDash w14:val="solid"/>
            <w14:bevel/>
          </w14:textOutline>
        </w:rPr>
        <w:t xml:space="preserve"> on </w:t>
      </w:r>
      <w:hyperlink r:id="rId23" w:history="1">
        <w:r w:rsidR="00553100" w:rsidRPr="00F56860">
          <w:rPr>
            <w:rStyle w:val="Hyperlink"/>
            <w:rFonts w:ascii="Arial" w:hAnsi="Arial" w:cs="Arial Unicode MS"/>
            <w:sz w:val="22"/>
            <w:szCs w:val="22"/>
            <w14:textOutline w14:w="0" w14:cap="flat" w14:cmpd="sng" w14:algn="ctr">
              <w14:noFill/>
              <w14:prstDash w14:val="solid"/>
              <w14:bevel/>
            </w14:textOutline>
          </w:rPr>
          <w:t>dementia</w:t>
        </w:r>
        <w:r w:rsidR="2CC83FBA" w:rsidRPr="00F56860">
          <w:rPr>
            <w:rStyle w:val="Hyperlink"/>
            <w:rFonts w:ascii="Arial" w:hAnsi="Arial" w:cs="Arial Unicode MS"/>
            <w:sz w:val="22"/>
            <w:szCs w:val="22"/>
            <w14:textOutline w14:w="0" w14:cap="flat" w14:cmpd="sng" w14:algn="ctr">
              <w14:noFill/>
              <w14:prstDash w14:val="solid"/>
              <w14:bevel/>
            </w14:textOutline>
          </w:rPr>
          <w:t>.</w:t>
        </w:r>
      </w:hyperlink>
    </w:p>
    <w:p w14:paraId="6FFD6412" w14:textId="77777777" w:rsidR="003C1A1D" w:rsidRDefault="003C1A1D"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p>
    <w:p w14:paraId="23E09723" w14:textId="4D5EE1FB" w:rsidR="00225E64" w:rsidRPr="002B7E89" w:rsidRDefault="6477FABE" w:rsidP="002B7E89">
      <w:pPr>
        <w:pStyle w:val="ListParagraph"/>
        <w:numPr>
          <w:ilvl w:val="0"/>
          <w:numId w:val="13"/>
        </w:numPr>
        <w:spacing w:before="120" w:line="288" w:lineRule="auto"/>
        <w:rPr>
          <w:rFonts w:ascii="Lato" w:hAnsi="Lato"/>
          <w:color w:val="000000" w:themeColor="text1"/>
          <w:sz w:val="32"/>
          <w:szCs w:val="32"/>
        </w:rPr>
      </w:pPr>
      <w:r w:rsidRPr="002B7E89">
        <w:rPr>
          <w:rFonts w:ascii="Lato" w:hAnsi="Lato" w:cs="Arial Unicode MS"/>
          <w:color w:val="000000" w:themeColor="text1"/>
          <w:sz w:val="32"/>
          <w:szCs w:val="32"/>
        </w:rPr>
        <w:t>Proxy access for direct care</w:t>
      </w:r>
    </w:p>
    <w:p w14:paraId="751FEBE6" w14:textId="202D3A78" w:rsidR="00225E64" w:rsidRDefault="00DC67A3" w:rsidP="00BD3568">
      <w:pPr>
        <w:spacing w:before="120" w:line="288" w:lineRule="auto"/>
        <w:rPr>
          <w:rFonts w:ascii="Arial" w:eastAsia="Arial" w:hAnsi="Arial" w:cs="Arial"/>
          <w:color w:val="000000"/>
          <w:sz w:val="22"/>
          <w:szCs w:val="22"/>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 xml:space="preserve">Sometimes practices are asked for proxy access by health or social care professionals who have a legitimate relationship with the patient to provide regular direct care. </w:t>
      </w:r>
      <w:r w:rsidR="002F0CC2">
        <w:rPr>
          <w:rFonts w:ascii="Arial" w:hAnsi="Arial" w:cs="Arial Unicode MS"/>
          <w:color w:val="000000"/>
          <w:sz w:val="22"/>
          <w:szCs w:val="22"/>
          <w14:textOutline w14:w="0" w14:cap="flat" w14:cmpd="sng" w14:algn="ctr">
            <w14:noFill/>
            <w14:prstDash w14:val="solid"/>
            <w14:bevel/>
          </w14:textOutline>
        </w:rPr>
        <w:t xml:space="preserve"> </w:t>
      </w:r>
      <w:r>
        <w:rPr>
          <w:rFonts w:ascii="Arial" w:hAnsi="Arial" w:cs="Arial Unicode MS"/>
          <w:color w:val="000000"/>
          <w:sz w:val="22"/>
          <w:szCs w:val="22"/>
          <w14:textOutline w14:w="0" w14:cap="flat" w14:cmpd="sng" w14:algn="ctr">
            <w14:noFill/>
            <w14:prstDash w14:val="solid"/>
            <w14:bevel/>
          </w14:textOutline>
        </w:rPr>
        <w:t>Most commonly the request comes from a nursing home</w:t>
      </w:r>
      <w:r w:rsidR="002F0CC2">
        <w:rPr>
          <w:rFonts w:ascii="Arial" w:hAnsi="Arial" w:cs="Arial Unicode MS"/>
          <w:color w:val="000000"/>
          <w:sz w:val="22"/>
          <w:szCs w:val="22"/>
          <w14:textOutline w14:w="0" w14:cap="flat" w14:cmpd="sng" w14:algn="ctr">
            <w14:noFill/>
            <w14:prstDash w14:val="solid"/>
            <w14:bevel/>
          </w14:textOutline>
        </w:rPr>
        <w:t xml:space="preserve"> for</w:t>
      </w:r>
      <w:r>
        <w:rPr>
          <w:rFonts w:ascii="Arial" w:hAnsi="Arial" w:cs="Arial Unicode MS"/>
          <w:color w:val="000000"/>
          <w:sz w:val="22"/>
          <w:szCs w:val="22"/>
          <w14:textOutline w14:w="0" w14:cap="flat" w14:cmpd="sng" w14:algn="ctr">
            <w14:noFill/>
            <w14:prstDash w14:val="solid"/>
            <w14:bevel/>
          </w14:textOutline>
        </w:rPr>
        <w:t xml:space="preserve"> access to order repeat </w:t>
      </w:r>
      <w:r w:rsidR="002F0CC2">
        <w:rPr>
          <w:rFonts w:ascii="Arial" w:hAnsi="Arial" w:cs="Arial Unicode MS"/>
          <w:color w:val="000000"/>
          <w:sz w:val="22"/>
          <w:szCs w:val="22"/>
          <w14:textOutline w14:w="0" w14:cap="flat" w14:cmpd="sng" w14:algn="ctr">
            <w14:noFill/>
            <w14:prstDash w14:val="solid"/>
            <w14:bevel/>
          </w14:textOutline>
        </w:rPr>
        <w:t>prescriptions,</w:t>
      </w:r>
      <w:r>
        <w:rPr>
          <w:rFonts w:ascii="Arial" w:hAnsi="Arial" w:cs="Arial Unicode MS"/>
          <w:color w:val="000000"/>
          <w:sz w:val="22"/>
          <w:szCs w:val="22"/>
          <w14:textOutline w14:w="0" w14:cap="flat" w14:cmpd="sng" w14:algn="ctr">
            <w14:noFill/>
            <w14:prstDash w14:val="solid"/>
            <w14:bevel/>
          </w14:textOutline>
        </w:rPr>
        <w:t xml:space="preserve"> but it may also be for record access including hospital correspondence, to keep up to date with the pat</w:t>
      </w:r>
      <w:r w:rsidR="002F0CC2">
        <w:rPr>
          <w:rFonts w:ascii="Arial" w:hAnsi="Arial" w:cs="Arial Unicode MS"/>
          <w:color w:val="000000"/>
          <w:sz w:val="22"/>
          <w:szCs w:val="22"/>
          <w14:textOutline w14:w="0" w14:cap="flat" w14:cmpd="sng" w14:algn="ctr">
            <w14:noFill/>
            <w14:prstDash w14:val="solid"/>
            <w14:bevel/>
          </w14:textOutline>
        </w:rPr>
        <w:t>ient’s hospital care</w:t>
      </w:r>
      <w:r>
        <w:rPr>
          <w:rFonts w:ascii="Arial" w:hAnsi="Arial" w:cs="Arial Unicode MS"/>
          <w:color w:val="000000"/>
          <w:sz w:val="22"/>
          <w:szCs w:val="22"/>
          <w14:textOutline w14:w="0" w14:cap="flat" w14:cmpd="sng" w14:algn="ctr">
            <w14:noFill/>
            <w14:prstDash w14:val="solid"/>
            <w14:bevel/>
          </w14:textOutline>
        </w:rPr>
        <w:t>.</w:t>
      </w:r>
    </w:p>
    <w:p w14:paraId="4B2CF519" w14:textId="4920D254" w:rsidR="00225E64" w:rsidRDefault="00DC67A3" w:rsidP="00BD3568">
      <w:pPr>
        <w:spacing w:before="120" w:line="288"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t xml:space="preserve">There are clearly benefits for the </w:t>
      </w:r>
      <w:r w:rsidR="009A3C10">
        <w:rPr>
          <w:rFonts w:ascii="Arial" w:hAnsi="Arial" w:cs="Arial Unicode MS"/>
          <w:color w:val="000000"/>
          <w:sz w:val="22"/>
          <w:szCs w:val="22"/>
          <w14:textOutline w14:w="0" w14:cap="flat" w14:cmpd="sng" w14:algn="ctr">
            <w14:noFill/>
            <w14:prstDash w14:val="solid"/>
            <w14:bevel/>
          </w14:textOutline>
        </w:rPr>
        <w:t>patient, with</w:t>
      </w:r>
      <w:r>
        <w:rPr>
          <w:rFonts w:ascii="Arial" w:hAnsi="Arial" w:cs="Arial Unicode MS"/>
          <w:color w:val="000000"/>
          <w:sz w:val="22"/>
          <w:szCs w:val="22"/>
          <w14:textOutline w14:w="0" w14:cap="flat" w14:cmpd="sng" w14:algn="ctr">
            <w14:noFill/>
            <w14:prstDash w14:val="solid"/>
            <w14:bevel/>
          </w14:textOutline>
        </w:rPr>
        <w:t xml:space="preserve"> better communication between the nursing home and the NHS but there are also risks to the practice, the patient and the </w:t>
      </w:r>
      <w:proofErr w:type="spellStart"/>
      <w:r>
        <w:rPr>
          <w:rFonts w:ascii="Arial" w:hAnsi="Arial" w:cs="Arial Unicode MS"/>
          <w:color w:val="000000"/>
          <w:sz w:val="22"/>
          <w:szCs w:val="22"/>
          <w14:textOutline w14:w="0" w14:cap="flat" w14:cmpd="sng" w14:algn="ctr">
            <w14:noFill/>
            <w14:prstDash w14:val="solid"/>
            <w14:bevel/>
          </w14:textOutline>
        </w:rPr>
        <w:t>organisation</w:t>
      </w:r>
      <w:proofErr w:type="spellEnd"/>
      <w:r>
        <w:rPr>
          <w:rFonts w:ascii="Arial" w:hAnsi="Arial" w:cs="Arial Unicode MS"/>
          <w:color w:val="000000"/>
          <w:sz w:val="22"/>
          <w:szCs w:val="22"/>
          <w14:textOutline w14:w="0" w14:cap="flat" w14:cmpd="sng" w14:algn="ctr">
            <w14:noFill/>
            <w14:prstDash w14:val="solid"/>
            <w14:bevel/>
          </w14:textOutline>
        </w:rPr>
        <w:t xml:space="preserve"> that must be taken into consideration. Not least, the information available to the </w:t>
      </w:r>
      <w:proofErr w:type="spellStart"/>
      <w:r>
        <w:rPr>
          <w:rFonts w:ascii="Arial" w:hAnsi="Arial" w:cs="Arial Unicode MS"/>
          <w:color w:val="000000"/>
          <w:sz w:val="22"/>
          <w:szCs w:val="22"/>
          <w14:textOutline w14:w="0" w14:cap="flat" w14:cmpd="sng" w14:algn="ctr">
            <w14:noFill/>
            <w14:prstDash w14:val="solid"/>
            <w14:bevel/>
          </w14:textOutline>
        </w:rPr>
        <w:t>organisation’s</w:t>
      </w:r>
      <w:proofErr w:type="spellEnd"/>
      <w:r>
        <w:rPr>
          <w:rFonts w:ascii="Arial" w:hAnsi="Arial" w:cs="Arial Unicode MS"/>
          <w:color w:val="000000"/>
          <w:sz w:val="22"/>
          <w:szCs w:val="22"/>
          <w14:textOutline w14:w="0" w14:cap="flat" w14:cmpd="sng" w14:algn="ctr">
            <w14:noFill/>
            <w14:prstDash w14:val="solid"/>
            <w14:bevel/>
          </w14:textOutline>
        </w:rPr>
        <w:t xml:space="preserve"> staff may not be complete or clear enough to be used by the </w:t>
      </w:r>
      <w:proofErr w:type="spellStart"/>
      <w:r>
        <w:rPr>
          <w:rFonts w:ascii="Arial" w:hAnsi="Arial" w:cs="Arial Unicode MS"/>
          <w:color w:val="000000"/>
          <w:sz w:val="22"/>
          <w:szCs w:val="22"/>
          <w14:textOutline w14:w="0" w14:cap="flat" w14:cmpd="sng" w14:algn="ctr">
            <w14:noFill/>
            <w14:prstDash w14:val="solid"/>
            <w14:bevel/>
          </w14:textOutline>
        </w:rPr>
        <w:t>organisation’s</w:t>
      </w:r>
      <w:proofErr w:type="spellEnd"/>
      <w:r>
        <w:rPr>
          <w:rFonts w:ascii="Arial" w:hAnsi="Arial" w:cs="Arial Unicode MS"/>
          <w:color w:val="000000"/>
          <w:sz w:val="22"/>
          <w:szCs w:val="22"/>
          <w14:textOutline w14:w="0" w14:cap="flat" w14:cmpd="sng" w14:algn="ctr">
            <w14:noFill/>
            <w14:prstDash w14:val="solid"/>
            <w14:bevel/>
          </w14:textOutline>
        </w:rPr>
        <w:t xml:space="preserve"> clinical staff to support clinical decisions. They should seek advice from practice clinicians rather than rely solely on the</w:t>
      </w:r>
      <w:r w:rsidR="004B4161">
        <w:rPr>
          <w:rFonts w:ascii="Arial" w:hAnsi="Arial" w:cs="Arial Unicode MS"/>
          <w:color w:val="000000"/>
          <w:sz w:val="22"/>
          <w:szCs w:val="22"/>
          <w14:textOutline w14:w="0" w14:cap="flat" w14:cmpd="sng" w14:algn="ctr">
            <w14:noFill/>
            <w14:prstDash w14:val="solid"/>
            <w14:bevel/>
          </w14:textOutline>
        </w:rPr>
        <w:t xml:space="preserve"> GP </w:t>
      </w:r>
      <w:r>
        <w:rPr>
          <w:rFonts w:ascii="Arial" w:hAnsi="Arial" w:cs="Arial Unicode MS"/>
          <w:color w:val="000000"/>
          <w:sz w:val="22"/>
          <w:szCs w:val="22"/>
          <w14:textOutline w14:w="0" w14:cap="flat" w14:cmpd="sng" w14:algn="ctr">
            <w14:noFill/>
            <w14:prstDash w14:val="solid"/>
            <w14:bevel/>
          </w14:textOutline>
        </w:rPr>
        <w:t>Online</w:t>
      </w:r>
      <w:r w:rsidR="00FB4800">
        <w:rPr>
          <w:rFonts w:ascii="Arial" w:hAnsi="Arial" w:cs="Arial Unicode MS"/>
          <w:color w:val="000000"/>
          <w:sz w:val="22"/>
          <w:szCs w:val="22"/>
          <w14:textOutline w14:w="0" w14:cap="flat" w14:cmpd="sng" w14:algn="ctr">
            <w14:noFill/>
            <w14:prstDash w14:val="solid"/>
            <w14:bevel/>
          </w14:textOutline>
        </w:rPr>
        <w:t xml:space="preserve"> Services</w:t>
      </w:r>
      <w:r>
        <w:rPr>
          <w:rFonts w:ascii="Arial" w:hAnsi="Arial" w:cs="Arial Unicode MS"/>
          <w:color w:val="000000"/>
          <w:sz w:val="22"/>
          <w:szCs w:val="22"/>
          <w14:textOutline w14:w="0" w14:cap="flat" w14:cmpd="sng" w14:algn="ctr">
            <w14:noFill/>
            <w14:prstDash w14:val="solid"/>
            <w14:bevel/>
          </w14:textOutline>
        </w:rPr>
        <w:t xml:space="preserve"> record</w:t>
      </w:r>
      <w:r w:rsidR="00FB4800">
        <w:rPr>
          <w:rFonts w:ascii="Arial" w:hAnsi="Arial" w:cs="Arial Unicode MS"/>
          <w:color w:val="000000"/>
          <w:sz w:val="22"/>
          <w:szCs w:val="22"/>
          <w14:textOutline w14:w="0" w14:cap="flat" w14:cmpd="sng" w14:algn="ctr">
            <w14:noFill/>
            <w14:prstDash w14:val="solid"/>
            <w14:bevel/>
          </w14:textOutline>
        </w:rPr>
        <w:t>s</w:t>
      </w:r>
      <w:r>
        <w:rPr>
          <w:rFonts w:ascii="Arial" w:hAnsi="Arial" w:cs="Arial Unicode MS"/>
          <w:color w:val="000000"/>
          <w:sz w:val="22"/>
          <w:szCs w:val="22"/>
          <w14:textOutline w14:w="0" w14:cap="flat" w14:cmpd="sng" w14:algn="ctr">
            <w14:noFill/>
            <w14:prstDash w14:val="solid"/>
            <w14:bevel/>
          </w14:textOutline>
        </w:rPr>
        <w:t>.</w:t>
      </w:r>
      <w:r w:rsidR="002F0CC2">
        <w:rPr>
          <w:rFonts w:ascii="Arial" w:hAnsi="Arial" w:cs="Arial Unicode MS"/>
          <w:color w:val="000000"/>
          <w:sz w:val="22"/>
          <w:szCs w:val="22"/>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There are also risks to the security and privacy of the patient’s personal information.  </w:t>
      </w:r>
    </w:p>
    <w:p w14:paraId="72D02863" w14:textId="6E25D2B4" w:rsidR="002F0CC2" w:rsidRPr="002F0CC2" w:rsidRDefault="00DC67A3" w:rsidP="00BD3568">
      <w:pPr>
        <w:spacing w:before="120" w:line="288" w:lineRule="auto"/>
        <w:rPr>
          <w:rFonts w:ascii="Arial" w:hAnsi="Arial" w:cs="Arial Unicode MS"/>
          <w:color w:val="000000"/>
          <w:sz w:val="22"/>
          <w:szCs w:val="22"/>
          <w14:textOutline w14:w="0" w14:cap="flat" w14:cmpd="sng" w14:algn="ctr">
            <w14:noFill/>
            <w14:prstDash w14:val="solid"/>
            <w14:bevel/>
          </w14:textOutline>
        </w:rPr>
      </w:pPr>
      <w:r>
        <w:rPr>
          <w:rFonts w:ascii="Arial" w:hAnsi="Arial" w:cs="Arial Unicode MS"/>
          <w:color w:val="000000"/>
          <w:sz w:val="22"/>
          <w:szCs w:val="22"/>
          <w14:textOutline w14:w="0" w14:cap="flat" w14:cmpd="sng" w14:algn="ctr">
            <w14:noFill/>
            <w14:prstDash w14:val="solid"/>
            <w14:bevel/>
          </w14:textOutline>
        </w:rPr>
        <w:lastRenderedPageBreak/>
        <w:t xml:space="preserve">Appropriate use of </w:t>
      </w:r>
      <w:r w:rsidR="00363A74">
        <w:rPr>
          <w:rFonts w:ascii="Arial" w:hAnsi="Arial" w:cs="Arial Unicode MS"/>
          <w:color w:val="000000"/>
          <w:sz w:val="22"/>
          <w:szCs w:val="22"/>
          <w14:textOutline w14:w="0" w14:cap="flat" w14:cmpd="sng" w14:algn="ctr">
            <w14:noFill/>
            <w14:prstDash w14:val="solid"/>
            <w14:bevel/>
          </w14:textOutline>
        </w:rPr>
        <w:t>GP</w:t>
      </w:r>
      <w:r>
        <w:rPr>
          <w:rFonts w:ascii="Arial" w:hAnsi="Arial" w:cs="Arial Unicode MS"/>
          <w:color w:val="000000"/>
          <w:sz w:val="22"/>
          <w:szCs w:val="22"/>
          <w14:textOutline w14:w="0" w14:cap="flat" w14:cmpd="sng" w14:algn="ctr">
            <w14:noFill/>
            <w14:prstDash w14:val="solid"/>
            <w14:bevel/>
          </w14:textOutline>
        </w:rPr>
        <w:t xml:space="preserve"> Online </w:t>
      </w:r>
      <w:r w:rsidR="00363A74">
        <w:rPr>
          <w:rFonts w:ascii="Arial" w:hAnsi="Arial" w:cs="Arial Unicode MS"/>
          <w:color w:val="000000"/>
          <w:sz w:val="22"/>
          <w:szCs w:val="22"/>
          <w14:textOutline w14:w="0" w14:cap="flat" w14:cmpd="sng" w14:algn="ctr">
            <w14:noFill/>
            <w14:prstDash w14:val="solid"/>
            <w14:bevel/>
          </w14:textOutline>
        </w:rPr>
        <w:t xml:space="preserve">Services </w:t>
      </w:r>
      <w:r>
        <w:rPr>
          <w:rFonts w:ascii="Arial" w:hAnsi="Arial" w:cs="Arial Unicode MS"/>
          <w:color w:val="000000"/>
          <w:sz w:val="22"/>
          <w:szCs w:val="22"/>
          <w14:textOutline w14:w="0" w14:cap="flat" w14:cmpd="sng" w14:algn="ctr">
            <w14:noFill/>
            <w14:prstDash w14:val="solid"/>
            <w14:bevel/>
          </w14:textOutline>
        </w:rPr>
        <w:t xml:space="preserve">by the clinicians in the </w:t>
      </w:r>
      <w:proofErr w:type="spellStart"/>
      <w:r>
        <w:rPr>
          <w:rFonts w:ascii="Arial" w:hAnsi="Arial" w:cs="Arial Unicode MS"/>
          <w:color w:val="000000"/>
          <w:sz w:val="22"/>
          <w:szCs w:val="22"/>
          <w14:textOutline w14:w="0" w14:cap="flat" w14:cmpd="sng" w14:algn="ctr">
            <w14:noFill/>
            <w14:prstDash w14:val="solid"/>
            <w14:bevel/>
          </w14:textOutline>
        </w:rPr>
        <w:t>organisation</w:t>
      </w:r>
      <w:proofErr w:type="spellEnd"/>
      <w:r>
        <w:rPr>
          <w:rFonts w:ascii="Arial" w:hAnsi="Arial" w:cs="Arial Unicode MS"/>
          <w:color w:val="000000"/>
          <w:sz w:val="22"/>
          <w:szCs w:val="22"/>
          <w14:textOutline w14:w="0" w14:cap="flat" w14:cmpd="sng" w14:algn="ctr">
            <w14:noFill/>
            <w14:prstDash w14:val="solid"/>
            <w14:bevel/>
          </w14:textOutline>
        </w:rPr>
        <w:t xml:space="preserve"> requesting proxy access must be covered by a data sharing agreement that deals with all these risks (see the box below).</w:t>
      </w:r>
    </w:p>
    <w:p w14:paraId="6E8E124E" w14:textId="3C1141F2" w:rsidR="00225E64" w:rsidRDefault="00F55112" w:rsidP="00BD3568">
      <w:pPr>
        <w:pStyle w:val="BodyText"/>
        <w:spacing w:before="120" w:line="288" w:lineRule="auto"/>
        <w:ind w:firstLine="283"/>
      </w:pPr>
      <w:r>
        <w:rPr>
          <w:noProof/>
        </w:rPr>
        <mc:AlternateContent>
          <mc:Choice Requires="wps">
            <w:drawing>
              <wp:anchor distT="0" distB="0" distL="114300" distR="114300" simplePos="0" relativeHeight="251658240" behindDoc="0" locked="0" layoutInCell="1" allowOverlap="1" wp14:anchorId="0AF72562" wp14:editId="5571B66F">
                <wp:simplePos x="0" y="0"/>
                <wp:positionH relativeFrom="margin">
                  <wp:posOffset>12700</wp:posOffset>
                </wp:positionH>
                <wp:positionV relativeFrom="margin">
                  <wp:posOffset>1065832</wp:posOffset>
                </wp:positionV>
                <wp:extent cx="5862955" cy="7578725"/>
                <wp:effectExtent l="12700" t="12700" r="17145" b="15875"/>
                <wp:wrapSquare wrapText="bothSides"/>
                <wp:docPr id="1073741826" name="officeArt object" descr="officeArt object"/>
                <wp:cNvGraphicFramePr/>
                <a:graphic xmlns:a="http://schemas.openxmlformats.org/drawingml/2006/main">
                  <a:graphicData uri="http://schemas.microsoft.com/office/word/2010/wordprocessingShape">
                    <wps:wsp>
                      <wps:cNvSpPr/>
                      <wps:spPr>
                        <a:xfrm>
                          <a:off x="0" y="0"/>
                          <a:ext cx="5862955" cy="7578725"/>
                        </a:xfrm>
                        <a:prstGeom prst="rect">
                          <a:avLst/>
                        </a:prstGeom>
                        <a:solidFill>
                          <a:srgbClr val="E9F5F8"/>
                        </a:solidFill>
                        <a:ln w="25400" cap="flat">
                          <a:solidFill>
                            <a:srgbClr val="0A5490"/>
                          </a:solidFill>
                          <a:prstDash val="solid"/>
                          <a:round/>
                        </a:ln>
                        <a:effectLst/>
                      </wps:spPr>
                      <wps:txbx>
                        <w:txbxContent>
                          <w:p w14:paraId="3DEEC669" w14:textId="699FED7F" w:rsidR="00225E64" w:rsidRDefault="00DC67A3" w:rsidP="002F0CC2">
                            <w:pPr>
                              <w:rPr>
                                <w:rFonts w:ascii="Arial" w:eastAsia="Arial" w:hAnsi="Arial" w:cs="Arial"/>
                                <w:color w:val="005392"/>
                                <w:sz w:val="28"/>
                                <w:szCs w:val="28"/>
                                <w:u w:color="005392"/>
                                <w14:textOutline w14:w="0" w14:cap="flat" w14:cmpd="sng" w14:algn="ctr">
                                  <w14:noFill/>
                                  <w14:prstDash w14:val="solid"/>
                                  <w14:bevel/>
                                </w14:textOutline>
                              </w:rPr>
                            </w:pPr>
                            <w:r>
                              <w:rPr>
                                <w:rFonts w:ascii="Arial" w:hAnsi="Arial" w:cs="Arial Unicode MS"/>
                                <w:color w:val="005392"/>
                                <w:sz w:val="28"/>
                                <w:szCs w:val="28"/>
                                <w:u w:color="005392"/>
                                <w14:textOutline w14:w="0" w14:cap="flat" w14:cmpd="sng" w14:algn="ctr">
                                  <w14:noFill/>
                                  <w14:prstDash w14:val="solid"/>
                                  <w14:bevel/>
                                </w14:textOutline>
                              </w:rPr>
                              <w:t>Scope of a data sharing agreement for proxy access for direct care</w:t>
                            </w:r>
                          </w:p>
                          <w:p w14:paraId="204C15AC" w14:textId="0795C3D8" w:rsidR="00225E64" w:rsidRDefault="00DC67A3" w:rsidP="002F0CC2">
                            <w:pPr>
                              <w:spacing w:before="24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follow the usual structure and content of a data sharing agreement. For a </w:t>
                            </w:r>
                            <w:r w:rsidR="002B7E89">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Online Agreement consider specifically including the following</w:t>
                            </w:r>
                            <w:r w:rsidR="001D0D50">
                              <w:rPr>
                                <w:rFonts w:ascii="Arial" w:hAnsi="Arial" w:cs="Arial Unicode MS"/>
                                <w:color w:val="000000"/>
                                <w:sz w:val="22"/>
                                <w:szCs w:val="22"/>
                                <w:u w:color="000000"/>
                                <w14:textOutline w14:w="0" w14:cap="flat" w14:cmpd="sng" w14:algn="ctr">
                                  <w14:noFill/>
                                  <w14:prstDash w14:val="solid"/>
                                  <w14:bevel/>
                                </w14:textOutline>
                              </w:rPr>
                              <w:t>:</w:t>
                            </w:r>
                          </w:p>
                          <w:p w14:paraId="0B3D42B2" w14:textId="77777777" w:rsidR="00225E64" w:rsidRDefault="00DC67A3" w:rsidP="002F0CC2">
                            <w:pPr>
                              <w:spacing w:before="120" w:line="264" w:lineRule="auto"/>
                              <w:rPr>
                                <w:rFonts w:ascii="Arial" w:eastAsia="Arial" w:hAnsi="Arial" w:cs="Arial"/>
                                <w:b/>
                                <w:bCs/>
                                <w:color w:val="000000"/>
                                <w:sz w:val="22"/>
                                <w:szCs w:val="22"/>
                                <w:u w:color="000000"/>
                                <w14:textOutline w14:w="0" w14:cap="flat" w14:cmpd="sng" w14:algn="ctr">
                                  <w14:noFill/>
                                  <w14:prstDash w14:val="solid"/>
                                  <w14:bevel/>
                                </w14:textOutline>
                              </w:rPr>
                            </w:pPr>
                            <w:r>
                              <w:rPr>
                                <w:rFonts w:ascii="Arial" w:hAnsi="Arial" w:cs="Arial Unicode MS"/>
                                <w:b/>
                                <w:bCs/>
                                <w:color w:val="000000"/>
                                <w:sz w:val="22"/>
                                <w:szCs w:val="22"/>
                                <w:u w:color="000000"/>
                                <w14:textOutline w14:w="0" w14:cap="flat" w14:cmpd="sng" w14:algn="ctr">
                                  <w14:noFill/>
                                  <w14:prstDash w14:val="solid"/>
                                  <w14:bevel/>
                                </w14:textOutline>
                              </w:rPr>
                              <w:t>Capacity and consent</w:t>
                            </w:r>
                          </w:p>
                          <w:p w14:paraId="60E26515" w14:textId="658AD008"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It may be helpful to name the patients covered by the agreement or to have a separate addendum for each patient that covers any specific conditions related to access to their </w:t>
                            </w:r>
                            <w:r w:rsidR="001D0D50">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Online accounts such as what level of access (appointments, prescriptions, detailed coded record, full record access) will be granted, how the patient will benefit and, if the patient is able to consent, when did they give their consent.</w:t>
                            </w:r>
                          </w:p>
                          <w:p w14:paraId="2256485E" w14:textId="77777777"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Where patient lacks capacity the agreement should include a record of prior indication of consent in the GP record, of whether close family members agree to the access and who they are.</w:t>
                            </w:r>
                          </w:p>
                          <w:p w14:paraId="3173DC0F" w14:textId="77777777" w:rsidR="00225E64" w:rsidRDefault="00DC67A3" w:rsidP="002F0CC2">
                            <w:pPr>
                              <w:spacing w:before="120" w:line="264" w:lineRule="auto"/>
                              <w:rPr>
                                <w:rFonts w:ascii="Arial" w:eastAsia="Arial" w:hAnsi="Arial" w:cs="Arial"/>
                                <w:b/>
                                <w:bCs/>
                                <w:color w:val="000000"/>
                                <w:sz w:val="22"/>
                                <w:szCs w:val="22"/>
                                <w:u w:color="000000"/>
                                <w14:textOutline w14:w="0" w14:cap="flat" w14:cmpd="sng" w14:algn="ctr">
                                  <w14:noFill/>
                                  <w14:prstDash w14:val="solid"/>
                                  <w14:bevel/>
                                </w14:textOutline>
                              </w:rPr>
                            </w:pPr>
                            <w:r>
                              <w:rPr>
                                <w:rFonts w:ascii="Arial" w:hAnsi="Arial" w:cs="Arial Unicode MS"/>
                                <w:b/>
                                <w:bCs/>
                                <w:color w:val="000000"/>
                                <w:sz w:val="22"/>
                                <w:szCs w:val="22"/>
                                <w:u w:color="000000"/>
                                <w14:textOutline w14:w="0" w14:cap="flat" w14:cmpd="sng" w14:algn="ctr">
                                  <w14:noFill/>
                                  <w14:prstDash w14:val="solid"/>
                                  <w14:bevel/>
                                </w14:textOutline>
                              </w:rPr>
                              <w:t>Security and data protection</w:t>
                            </w:r>
                          </w:p>
                          <w:p w14:paraId="5005B50B" w14:textId="77777777"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state how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will protect the security and confidentiality of the patient’s online account and information.</w:t>
                            </w:r>
                          </w:p>
                          <w:p w14:paraId="177287A6" w14:textId="4C89CFA5"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It should be clear who is to have access to the patient’s account and the circumstances under which access may be withdrawn. </w:t>
                            </w:r>
                            <w:r w:rsidR="008147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Each member of staff who will have access should have their own login credentials. </w:t>
                            </w:r>
                            <w:r w:rsidR="008147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They should be named in an addendum to the agreement or in the agreement itself, and their agreed level of access should be recorded.</w:t>
                            </w:r>
                          </w:p>
                          <w:p w14:paraId="3F254314" w14:textId="77777777"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practice must be informed when any staff at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who has access credentials leaves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w:t>
                            </w:r>
                          </w:p>
                          <w:p w14:paraId="17157879" w14:textId="262F99DB"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include a statement of when and how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providing care to the patient will inform the practice that a member of staff who has </w:t>
                            </w:r>
                            <w:r w:rsidR="009215E8">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Online access no longer has responsibility for the patient or has left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so that the practice can withdraw access to their account.</w:t>
                            </w:r>
                          </w:p>
                          <w:p w14:paraId="2E627454" w14:textId="4E5CC775"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be reviewed regularly by the practice and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to ensure that any changes in circumstances are included. </w:t>
                            </w:r>
                            <w:r w:rsidR="008147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This should happen whenever another patient is considered for </w:t>
                            </w:r>
                            <w:r w:rsidR="009215E8">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w:t>
                            </w:r>
                            <w:r w:rsidR="009A3C10">
                              <w:rPr>
                                <w:rFonts w:ascii="Arial" w:hAnsi="Arial" w:cs="Arial Unicode MS"/>
                                <w:color w:val="000000"/>
                                <w:sz w:val="22"/>
                                <w:szCs w:val="22"/>
                                <w:u w:color="000000"/>
                                <w14:textOutline w14:w="0" w14:cap="flat" w14:cmpd="sng" w14:algn="ctr">
                                  <w14:noFill/>
                                  <w14:prstDash w14:val="solid"/>
                                  <w14:bevel/>
                                </w14:textOutline>
                              </w:rPr>
                              <w:t>online</w:t>
                            </w:r>
                            <w:r w:rsidR="00F55112">
                              <w:rPr>
                                <w:rFonts w:ascii="Arial" w:hAnsi="Arial" w:cs="Arial Unicode MS"/>
                                <w:color w:val="000000"/>
                                <w:sz w:val="22"/>
                                <w:szCs w:val="22"/>
                                <w:u w:color="000000"/>
                                <w14:textOutline w14:w="0" w14:cap="flat" w14:cmpd="sng" w14:algn="ctr">
                                  <w14:noFill/>
                                  <w14:prstDash w14:val="solid"/>
                                  <w14:bevel/>
                                </w14:textOutline>
                              </w:rPr>
                              <w:t xml:space="preserve"> services</w:t>
                            </w:r>
                            <w:r w:rsidR="008147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or at least at a regular agreed date.</w:t>
                            </w:r>
                          </w:p>
                          <w:p w14:paraId="184C4AA8" w14:textId="77777777" w:rsidR="00225E64" w:rsidRDefault="00DC67A3" w:rsidP="002F0CC2">
                            <w:pPr>
                              <w:spacing w:before="120" w:line="264" w:lineRule="auto"/>
                              <w:rPr>
                                <w:rFonts w:ascii="Arial" w:eastAsia="Arial" w:hAnsi="Arial" w:cs="Arial"/>
                                <w:b/>
                                <w:bCs/>
                                <w:color w:val="000000"/>
                                <w:sz w:val="22"/>
                                <w:szCs w:val="22"/>
                                <w:u w:color="000000"/>
                                <w14:textOutline w14:w="0" w14:cap="flat" w14:cmpd="sng" w14:algn="ctr">
                                  <w14:noFill/>
                                  <w14:prstDash w14:val="solid"/>
                                  <w14:bevel/>
                                </w14:textOutline>
                              </w:rPr>
                            </w:pPr>
                            <w:r>
                              <w:rPr>
                                <w:rFonts w:ascii="Arial" w:hAnsi="Arial" w:cs="Arial Unicode MS"/>
                                <w:b/>
                                <w:bCs/>
                                <w:color w:val="000000"/>
                                <w:sz w:val="22"/>
                                <w:szCs w:val="22"/>
                                <w:u w:color="000000"/>
                                <w14:textOutline w14:w="0" w14:cap="flat" w14:cmpd="sng" w14:algn="ctr">
                                  <w14:noFill/>
                                  <w14:prstDash w14:val="solid"/>
                                  <w14:bevel/>
                                </w14:textOutline>
                              </w:rPr>
                              <w:t>Clinical decision support</w:t>
                            </w:r>
                          </w:p>
                          <w:p w14:paraId="010F820D" w14:textId="15EF1A08" w:rsidR="00225E64" w:rsidRDefault="00DC67A3" w:rsidP="002F0CC2">
                            <w:pPr>
                              <w:spacing w:before="120" w:line="264" w:lineRule="auto"/>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make it clear that the information available to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staff through </w:t>
                            </w:r>
                            <w:r w:rsidR="00F55112">
                              <w:rPr>
                                <w:rFonts w:ascii="Arial" w:hAnsi="Arial" w:cs="Arial Unicode MS"/>
                                <w:color w:val="000000"/>
                                <w:sz w:val="22"/>
                                <w:szCs w:val="22"/>
                                <w:u w:color="000000"/>
                                <w14:textOutline w14:w="0" w14:cap="flat" w14:cmpd="sng" w14:algn="ctr">
                                  <w14:noFill/>
                                  <w14:prstDash w14:val="solid"/>
                                  <w14:bevel/>
                                </w14:textOutline>
                              </w:rPr>
                              <w:t xml:space="preserve">the </w:t>
                            </w:r>
                            <w:r w:rsidR="009215E8">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w:t>
                            </w:r>
                            <w:r w:rsidR="00F55112">
                              <w:rPr>
                                <w:rFonts w:ascii="Arial" w:hAnsi="Arial" w:cs="Arial Unicode MS"/>
                                <w:color w:val="000000"/>
                                <w:sz w:val="22"/>
                                <w:szCs w:val="22"/>
                                <w:u w:color="000000"/>
                                <w14:textOutline w14:w="0" w14:cap="flat" w14:cmpd="sng" w14:algn="ctr">
                                  <w14:noFill/>
                                  <w14:prstDash w14:val="solid"/>
                                  <w14:bevel/>
                                </w14:textOutline>
                              </w:rPr>
                              <w:t xml:space="preserve">online services </w:t>
                            </w:r>
                            <w:r>
                              <w:rPr>
                                <w:rFonts w:ascii="Arial" w:hAnsi="Arial" w:cs="Arial Unicode MS"/>
                                <w:color w:val="000000"/>
                                <w:sz w:val="22"/>
                                <w:szCs w:val="22"/>
                                <w:u w:color="000000"/>
                                <w14:textOutline w14:w="0" w14:cap="flat" w14:cmpd="sng" w14:algn="ctr">
                                  <w14:noFill/>
                                  <w14:prstDash w14:val="solid"/>
                                  <w14:bevel/>
                                </w14:textOutline>
                              </w:rPr>
                              <w:t xml:space="preserve">may not be complete or clear enough to be used for support clinical decision making.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should agree not to use </w:t>
                            </w:r>
                            <w:r w:rsidR="009215E8">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Online to help make clinical decisions. </w:t>
                            </w:r>
                          </w:p>
                        </w:txbxContent>
                      </wps:txbx>
                      <wps:bodyPr wrap="square" lIns="177800" tIns="177800" rIns="177800" bIns="177800" numCol="1" anchor="ctr">
                        <a:noAutofit/>
                      </wps:bodyPr>
                    </wps:wsp>
                  </a:graphicData>
                </a:graphic>
                <wp14:sizeRelH relativeFrom="margin">
                  <wp14:pctWidth>0</wp14:pctWidth>
                </wp14:sizeRelH>
              </wp:anchor>
            </w:drawing>
          </mc:Choice>
          <mc:Fallback>
            <w:pict>
              <v:rect w14:anchorId="0AF72562" id="officeArt object" o:spid="_x0000_s1026" alt="officeArt object" style="position:absolute;left:0;text-align:left;margin-left:1pt;margin-top:83.9pt;width:461.65pt;height:596.75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" fillcolor="#e9f5f8" strokecolor="#0a5490" strokeweight="2pt">
                <v:stroke joinstyle="round"/>
                <v:textbox inset="14pt,14pt,14pt,14pt">
                  <w:txbxContent>
                    <w:p w14:paraId="3DEEC669" w14:textId="699FED7F" w:rsidR="00225E64" w:rsidRDefault="00DC67A3" w:rsidP="002F0CC2">
                      <w:pPr>
                        <w:rPr>
                          <w:rFonts w:ascii="Arial" w:eastAsia="Arial" w:hAnsi="Arial" w:cs="Arial"/>
                          <w:color w:val="005392"/>
                          <w:sz w:val="28"/>
                          <w:szCs w:val="28"/>
                          <w:u w:color="005392"/>
                          <w14:textOutline w14:w="0" w14:cap="flat" w14:cmpd="sng" w14:algn="ctr">
                            <w14:noFill/>
                            <w14:prstDash w14:val="solid"/>
                            <w14:bevel/>
                          </w14:textOutline>
                        </w:rPr>
                      </w:pPr>
                      <w:r>
                        <w:rPr>
                          <w:rFonts w:ascii="Arial" w:hAnsi="Arial" w:cs="Arial Unicode MS"/>
                          <w:color w:val="005392"/>
                          <w:sz w:val="28"/>
                          <w:szCs w:val="28"/>
                          <w:u w:color="005392"/>
                          <w14:textOutline w14:w="0" w14:cap="flat" w14:cmpd="sng" w14:algn="ctr">
                            <w14:noFill/>
                            <w14:prstDash w14:val="solid"/>
                            <w14:bevel/>
                          </w14:textOutline>
                        </w:rPr>
                        <w:t>Scope of a data sharing agreement for proxy access for direct care</w:t>
                      </w:r>
                    </w:p>
                    <w:p w14:paraId="204C15AC" w14:textId="0795C3D8" w:rsidR="00225E64" w:rsidRDefault="00DC67A3" w:rsidP="002F0CC2">
                      <w:pPr>
                        <w:spacing w:before="24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follow the usual structure and content of a data sharing agreement. For a </w:t>
                      </w:r>
                      <w:r w:rsidR="002B7E89">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Online Agreement consider specifically including the following</w:t>
                      </w:r>
                      <w:r w:rsidR="001D0D50">
                        <w:rPr>
                          <w:rFonts w:ascii="Arial" w:hAnsi="Arial" w:cs="Arial Unicode MS"/>
                          <w:color w:val="000000"/>
                          <w:sz w:val="22"/>
                          <w:szCs w:val="22"/>
                          <w:u w:color="000000"/>
                          <w14:textOutline w14:w="0" w14:cap="flat" w14:cmpd="sng" w14:algn="ctr">
                            <w14:noFill/>
                            <w14:prstDash w14:val="solid"/>
                            <w14:bevel/>
                          </w14:textOutline>
                        </w:rPr>
                        <w:t>:</w:t>
                      </w:r>
                    </w:p>
                    <w:p w14:paraId="0B3D42B2" w14:textId="77777777" w:rsidR="00225E64" w:rsidRDefault="00DC67A3" w:rsidP="002F0CC2">
                      <w:pPr>
                        <w:spacing w:before="120" w:line="264" w:lineRule="auto"/>
                        <w:rPr>
                          <w:rFonts w:ascii="Arial" w:eastAsia="Arial" w:hAnsi="Arial" w:cs="Arial"/>
                          <w:b/>
                          <w:bCs/>
                          <w:color w:val="000000"/>
                          <w:sz w:val="22"/>
                          <w:szCs w:val="22"/>
                          <w:u w:color="000000"/>
                          <w14:textOutline w14:w="0" w14:cap="flat" w14:cmpd="sng" w14:algn="ctr">
                            <w14:noFill/>
                            <w14:prstDash w14:val="solid"/>
                            <w14:bevel/>
                          </w14:textOutline>
                        </w:rPr>
                      </w:pPr>
                      <w:r>
                        <w:rPr>
                          <w:rFonts w:ascii="Arial" w:hAnsi="Arial" w:cs="Arial Unicode MS"/>
                          <w:b/>
                          <w:bCs/>
                          <w:color w:val="000000"/>
                          <w:sz w:val="22"/>
                          <w:szCs w:val="22"/>
                          <w:u w:color="000000"/>
                          <w14:textOutline w14:w="0" w14:cap="flat" w14:cmpd="sng" w14:algn="ctr">
                            <w14:noFill/>
                            <w14:prstDash w14:val="solid"/>
                            <w14:bevel/>
                          </w14:textOutline>
                        </w:rPr>
                        <w:t>Capacity and consent</w:t>
                      </w:r>
                    </w:p>
                    <w:p w14:paraId="60E26515" w14:textId="658AD008"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It may be helpful to name the patients covered by the agreement or to have a separate addendum for each patient that covers any specific conditions related to access to their </w:t>
                      </w:r>
                      <w:r w:rsidR="001D0D50">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Online accounts such as what level of access (appointments, prescriptions, detailed coded record, full record access) will be granted, how the patient will benefit and, if the patient is able to consent, when did they give their consent.</w:t>
                      </w:r>
                    </w:p>
                    <w:p w14:paraId="2256485E" w14:textId="77777777"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Where patient lacks capacity the agreement should include a record of prior indication of consent in the GP record, of whether close family members agree to the access and who they are.</w:t>
                      </w:r>
                    </w:p>
                    <w:p w14:paraId="3173DC0F" w14:textId="77777777" w:rsidR="00225E64" w:rsidRDefault="00DC67A3" w:rsidP="002F0CC2">
                      <w:pPr>
                        <w:spacing w:before="120" w:line="264" w:lineRule="auto"/>
                        <w:rPr>
                          <w:rFonts w:ascii="Arial" w:eastAsia="Arial" w:hAnsi="Arial" w:cs="Arial"/>
                          <w:b/>
                          <w:bCs/>
                          <w:color w:val="000000"/>
                          <w:sz w:val="22"/>
                          <w:szCs w:val="22"/>
                          <w:u w:color="000000"/>
                          <w14:textOutline w14:w="0" w14:cap="flat" w14:cmpd="sng" w14:algn="ctr">
                            <w14:noFill/>
                            <w14:prstDash w14:val="solid"/>
                            <w14:bevel/>
                          </w14:textOutline>
                        </w:rPr>
                      </w:pPr>
                      <w:r>
                        <w:rPr>
                          <w:rFonts w:ascii="Arial" w:hAnsi="Arial" w:cs="Arial Unicode MS"/>
                          <w:b/>
                          <w:bCs/>
                          <w:color w:val="000000"/>
                          <w:sz w:val="22"/>
                          <w:szCs w:val="22"/>
                          <w:u w:color="000000"/>
                          <w14:textOutline w14:w="0" w14:cap="flat" w14:cmpd="sng" w14:algn="ctr">
                            <w14:noFill/>
                            <w14:prstDash w14:val="solid"/>
                            <w14:bevel/>
                          </w14:textOutline>
                        </w:rPr>
                        <w:t>Security and data protection</w:t>
                      </w:r>
                    </w:p>
                    <w:p w14:paraId="5005B50B" w14:textId="77777777"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state how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will protect the security and confidentiality of the patient’s online account and information.</w:t>
                      </w:r>
                    </w:p>
                    <w:p w14:paraId="177287A6" w14:textId="4C89CFA5"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It should be clear who is to have access to the patient’s account and the circumstances under which access may be withdrawn. </w:t>
                      </w:r>
                      <w:r w:rsidR="008147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Each member of staff who will have access should have their own login credentials. </w:t>
                      </w:r>
                      <w:r w:rsidR="008147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They should be named in an addendum to the agreement or in the agreement itself, and their agreed level of access should be recorded.</w:t>
                      </w:r>
                    </w:p>
                    <w:p w14:paraId="3F254314" w14:textId="77777777"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practice must be informed when any staff at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who has access credentials leaves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w:t>
                      </w:r>
                    </w:p>
                    <w:p w14:paraId="17157879" w14:textId="262F99DB"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include a statement of when and how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providing care to the patient will inform the practice that a member of staff who has </w:t>
                      </w:r>
                      <w:r w:rsidR="009215E8">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Online access no longer has responsibility for the patient or has left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so that the practice can withdraw access to their account.</w:t>
                      </w:r>
                    </w:p>
                    <w:p w14:paraId="2E627454" w14:textId="4E5CC775" w:rsidR="00225E64" w:rsidRDefault="00DC67A3" w:rsidP="002F0CC2">
                      <w:pPr>
                        <w:spacing w:before="120" w:line="264" w:lineRule="auto"/>
                        <w:rPr>
                          <w:rFonts w:ascii="Arial" w:eastAsia="Arial" w:hAnsi="Arial" w:cs="Arial"/>
                          <w:color w:val="000000"/>
                          <w:sz w:val="22"/>
                          <w:szCs w:val="22"/>
                          <w:u w:color="000000"/>
                          <w14:textOutline w14:w="0" w14:cap="flat" w14:cmpd="sng" w14:algn="ctr">
                            <w14:noFill/>
                            <w14:prstDash w14:val="solid"/>
                            <w14:bevel/>
                          </w14:textOutline>
                        </w:rPr>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be reviewed regularly by the practice and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to ensure that any changes in circumstances are included. </w:t>
                      </w:r>
                      <w:r w:rsidR="008147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 xml:space="preserve">This should happen whenever another patient is considered for </w:t>
                      </w:r>
                      <w:r w:rsidR="009215E8">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w:t>
                      </w:r>
                      <w:r w:rsidR="009A3C10">
                        <w:rPr>
                          <w:rFonts w:ascii="Arial" w:hAnsi="Arial" w:cs="Arial Unicode MS"/>
                          <w:color w:val="000000"/>
                          <w:sz w:val="22"/>
                          <w:szCs w:val="22"/>
                          <w:u w:color="000000"/>
                          <w14:textOutline w14:w="0" w14:cap="flat" w14:cmpd="sng" w14:algn="ctr">
                            <w14:noFill/>
                            <w14:prstDash w14:val="solid"/>
                            <w14:bevel/>
                          </w14:textOutline>
                        </w:rPr>
                        <w:t>online</w:t>
                      </w:r>
                      <w:r w:rsidR="00F55112">
                        <w:rPr>
                          <w:rFonts w:ascii="Arial" w:hAnsi="Arial" w:cs="Arial Unicode MS"/>
                          <w:color w:val="000000"/>
                          <w:sz w:val="22"/>
                          <w:szCs w:val="22"/>
                          <w:u w:color="000000"/>
                          <w14:textOutline w14:w="0" w14:cap="flat" w14:cmpd="sng" w14:algn="ctr">
                            <w14:noFill/>
                            <w14:prstDash w14:val="solid"/>
                            <w14:bevel/>
                          </w14:textOutline>
                        </w:rPr>
                        <w:t xml:space="preserve"> services</w:t>
                      </w:r>
                      <w:r w:rsidR="0081479B">
                        <w:rPr>
                          <w:rFonts w:ascii="Arial" w:hAnsi="Arial" w:cs="Arial Unicode MS"/>
                          <w:color w:val="000000"/>
                          <w:sz w:val="22"/>
                          <w:szCs w:val="22"/>
                          <w:u w:color="000000"/>
                          <w14:textOutline w14:w="0" w14:cap="flat" w14:cmpd="sng" w14:algn="ctr">
                            <w14:noFill/>
                            <w14:prstDash w14:val="solid"/>
                            <w14:bevel/>
                          </w14:textOutline>
                        </w:rPr>
                        <w:t xml:space="preserve"> </w:t>
                      </w:r>
                      <w:r>
                        <w:rPr>
                          <w:rFonts w:ascii="Arial" w:hAnsi="Arial" w:cs="Arial Unicode MS"/>
                          <w:color w:val="000000"/>
                          <w:sz w:val="22"/>
                          <w:szCs w:val="22"/>
                          <w:u w:color="000000"/>
                          <w14:textOutline w14:w="0" w14:cap="flat" w14:cmpd="sng" w14:algn="ctr">
                            <w14:noFill/>
                            <w14:prstDash w14:val="solid"/>
                            <w14:bevel/>
                          </w14:textOutline>
                        </w:rPr>
                        <w:t>or at least at a regular agreed date.</w:t>
                      </w:r>
                    </w:p>
                    <w:p w14:paraId="184C4AA8" w14:textId="77777777" w:rsidR="00225E64" w:rsidRDefault="00DC67A3" w:rsidP="002F0CC2">
                      <w:pPr>
                        <w:spacing w:before="120" w:line="264" w:lineRule="auto"/>
                        <w:rPr>
                          <w:rFonts w:ascii="Arial" w:eastAsia="Arial" w:hAnsi="Arial" w:cs="Arial"/>
                          <w:b/>
                          <w:bCs/>
                          <w:color w:val="000000"/>
                          <w:sz w:val="22"/>
                          <w:szCs w:val="22"/>
                          <w:u w:color="000000"/>
                          <w14:textOutline w14:w="0" w14:cap="flat" w14:cmpd="sng" w14:algn="ctr">
                            <w14:noFill/>
                            <w14:prstDash w14:val="solid"/>
                            <w14:bevel/>
                          </w14:textOutline>
                        </w:rPr>
                      </w:pPr>
                      <w:r>
                        <w:rPr>
                          <w:rFonts w:ascii="Arial" w:hAnsi="Arial" w:cs="Arial Unicode MS"/>
                          <w:b/>
                          <w:bCs/>
                          <w:color w:val="000000"/>
                          <w:sz w:val="22"/>
                          <w:szCs w:val="22"/>
                          <w:u w:color="000000"/>
                          <w14:textOutline w14:w="0" w14:cap="flat" w14:cmpd="sng" w14:algn="ctr">
                            <w14:noFill/>
                            <w14:prstDash w14:val="solid"/>
                            <w14:bevel/>
                          </w14:textOutline>
                        </w:rPr>
                        <w:t>Clinical decision support</w:t>
                      </w:r>
                    </w:p>
                    <w:p w14:paraId="010F820D" w14:textId="15EF1A08" w:rsidR="00225E64" w:rsidRDefault="00DC67A3" w:rsidP="002F0CC2">
                      <w:pPr>
                        <w:spacing w:before="120" w:line="264" w:lineRule="auto"/>
                      </w:pPr>
                      <w:r>
                        <w:rPr>
                          <w:rFonts w:ascii="Arial" w:hAnsi="Arial" w:cs="Arial Unicode MS"/>
                          <w:color w:val="000000"/>
                          <w:sz w:val="22"/>
                          <w:szCs w:val="22"/>
                          <w:u w:color="000000"/>
                          <w14:textOutline w14:w="0" w14:cap="flat" w14:cmpd="sng" w14:algn="ctr">
                            <w14:noFill/>
                            <w14:prstDash w14:val="solid"/>
                            <w14:bevel/>
                          </w14:textOutline>
                        </w:rPr>
                        <w:t xml:space="preserve">The agreement should make it clear that the information available to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staff through </w:t>
                      </w:r>
                      <w:r w:rsidR="00F55112">
                        <w:rPr>
                          <w:rFonts w:ascii="Arial" w:hAnsi="Arial" w:cs="Arial Unicode MS"/>
                          <w:color w:val="000000"/>
                          <w:sz w:val="22"/>
                          <w:szCs w:val="22"/>
                          <w:u w:color="000000"/>
                          <w14:textOutline w14:w="0" w14:cap="flat" w14:cmpd="sng" w14:algn="ctr">
                            <w14:noFill/>
                            <w14:prstDash w14:val="solid"/>
                            <w14:bevel/>
                          </w14:textOutline>
                        </w:rPr>
                        <w:t xml:space="preserve">the </w:t>
                      </w:r>
                      <w:r w:rsidR="009215E8">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w:t>
                      </w:r>
                      <w:r w:rsidR="00F55112">
                        <w:rPr>
                          <w:rFonts w:ascii="Arial" w:hAnsi="Arial" w:cs="Arial Unicode MS"/>
                          <w:color w:val="000000"/>
                          <w:sz w:val="22"/>
                          <w:szCs w:val="22"/>
                          <w:u w:color="000000"/>
                          <w14:textOutline w14:w="0" w14:cap="flat" w14:cmpd="sng" w14:algn="ctr">
                            <w14:noFill/>
                            <w14:prstDash w14:val="solid"/>
                            <w14:bevel/>
                          </w14:textOutline>
                        </w:rPr>
                        <w:t xml:space="preserve">online services </w:t>
                      </w:r>
                      <w:r>
                        <w:rPr>
                          <w:rFonts w:ascii="Arial" w:hAnsi="Arial" w:cs="Arial Unicode MS"/>
                          <w:color w:val="000000"/>
                          <w:sz w:val="22"/>
                          <w:szCs w:val="22"/>
                          <w:u w:color="000000"/>
                          <w14:textOutline w14:w="0" w14:cap="flat" w14:cmpd="sng" w14:algn="ctr">
                            <w14:noFill/>
                            <w14:prstDash w14:val="solid"/>
                            <w14:bevel/>
                          </w14:textOutline>
                        </w:rPr>
                        <w:t xml:space="preserve">may not be complete or clear enough to be used for support clinical decision making. The </w:t>
                      </w:r>
                      <w:proofErr w:type="spellStart"/>
                      <w:r>
                        <w:rPr>
                          <w:rFonts w:ascii="Arial" w:hAnsi="Arial" w:cs="Arial Unicode MS"/>
                          <w:color w:val="000000"/>
                          <w:sz w:val="22"/>
                          <w:szCs w:val="22"/>
                          <w:u w:color="000000"/>
                          <w14:textOutline w14:w="0" w14:cap="flat" w14:cmpd="sng" w14:algn="ctr">
                            <w14:noFill/>
                            <w14:prstDash w14:val="solid"/>
                            <w14:bevel/>
                          </w14:textOutline>
                        </w:rPr>
                        <w:t>organisation</w:t>
                      </w:r>
                      <w:proofErr w:type="spellEnd"/>
                      <w:r>
                        <w:rPr>
                          <w:rFonts w:ascii="Arial" w:hAnsi="Arial" w:cs="Arial Unicode MS"/>
                          <w:color w:val="000000"/>
                          <w:sz w:val="22"/>
                          <w:szCs w:val="22"/>
                          <w:u w:color="000000"/>
                          <w14:textOutline w14:w="0" w14:cap="flat" w14:cmpd="sng" w14:algn="ctr">
                            <w14:noFill/>
                            <w14:prstDash w14:val="solid"/>
                            <w14:bevel/>
                          </w14:textOutline>
                        </w:rPr>
                        <w:t xml:space="preserve"> should agree not to use </w:t>
                      </w:r>
                      <w:r w:rsidR="009215E8">
                        <w:rPr>
                          <w:rFonts w:ascii="Arial" w:hAnsi="Arial" w:cs="Arial Unicode MS"/>
                          <w:color w:val="000000"/>
                          <w:sz w:val="22"/>
                          <w:szCs w:val="22"/>
                          <w:u w:color="000000"/>
                          <w14:textOutline w14:w="0" w14:cap="flat" w14:cmpd="sng" w14:algn="ctr">
                            <w14:noFill/>
                            <w14:prstDash w14:val="solid"/>
                            <w14:bevel/>
                          </w14:textOutline>
                        </w:rPr>
                        <w:t>GP</w:t>
                      </w:r>
                      <w:r>
                        <w:rPr>
                          <w:rFonts w:ascii="Arial" w:hAnsi="Arial" w:cs="Arial Unicode MS"/>
                          <w:color w:val="000000"/>
                          <w:sz w:val="22"/>
                          <w:szCs w:val="22"/>
                          <w:u w:color="000000"/>
                          <w14:textOutline w14:w="0" w14:cap="flat" w14:cmpd="sng" w14:algn="ctr">
                            <w14:noFill/>
                            <w14:prstDash w14:val="solid"/>
                            <w14:bevel/>
                          </w14:textOutline>
                        </w:rPr>
                        <w:t xml:space="preserve"> Online to help make clinical decisions. </w:t>
                      </w:r>
                    </w:p>
                  </w:txbxContent>
                </v:textbox>
                <w10:wrap type="square" anchorx="margin" anchory="margin"/>
              </v:rect>
            </w:pict>
          </mc:Fallback>
        </mc:AlternateContent>
      </w:r>
    </w:p>
    <w:sectPr w:rsidR="00225E64" w:rsidSect="003C1A1D">
      <w:footerReference w:type="default" r:id="rId24"/>
      <w:pgSz w:w="11900" w:h="16840"/>
      <w:pgMar w:top="1361" w:right="1304" w:bottom="1361"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1343E" w14:textId="77777777" w:rsidR="002A624B" w:rsidRDefault="002A624B">
      <w:r>
        <w:separator/>
      </w:r>
    </w:p>
  </w:endnote>
  <w:endnote w:type="continuationSeparator" w:id="0">
    <w:p w14:paraId="5B84A237" w14:textId="77777777" w:rsidR="002A624B" w:rsidRDefault="002A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Lato">
    <w:panose1 w:val="020F0502020204030203"/>
    <w:charset w:val="00"/>
    <w:family w:val="swiss"/>
    <w:pitch w:val="variable"/>
    <w:sig w:usb0="E10002FF" w:usb1="5000ECFF" w:usb2="00000021"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3485" w14:textId="0E19BD03" w:rsidR="00225E64" w:rsidRDefault="00DC67A3">
    <w:pPr>
      <w:pStyle w:val="HeaderFooter"/>
      <w:jc w:val="right"/>
    </w:pPr>
    <w:r>
      <w:rPr>
        <w:sz w:val="20"/>
        <w:szCs w:val="20"/>
      </w:rPr>
      <w:fldChar w:fldCharType="begin"/>
    </w:r>
    <w:r>
      <w:rPr>
        <w:sz w:val="20"/>
        <w:szCs w:val="20"/>
      </w:rPr>
      <w:instrText xml:space="preserve"> PAGE </w:instrText>
    </w:r>
    <w:r>
      <w:rPr>
        <w:sz w:val="20"/>
        <w:szCs w:val="20"/>
      </w:rPr>
      <w:fldChar w:fldCharType="separate"/>
    </w:r>
    <w:r w:rsidR="00343AC5">
      <w:rPr>
        <w:noProof/>
        <w:sz w:val="20"/>
        <w:szCs w:val="20"/>
      </w:rPr>
      <w:t>1</w:t>
    </w:r>
    <w:r>
      <w:rPr>
        <w:sz w:val="20"/>
        <w:szCs w:val="20"/>
      </w:rPr>
      <w:fldChar w:fldCharType="end"/>
    </w:r>
    <w:r>
      <w:rPr>
        <w:sz w:val="20"/>
        <w:szCs w:val="20"/>
        <w:lang w:val="en-US"/>
      </w:rPr>
      <w:tab/>
    </w:r>
    <w:r w:rsidR="00513456" w:rsidRPr="00A8617C">
      <w:rPr>
        <w:rFonts w:ascii="Arial" w:hAnsi="Arial" w:cs="Arial"/>
        <w:sz w:val="20"/>
        <w:szCs w:val="20"/>
        <w:lang w:val="en-US"/>
      </w:rPr>
      <w:t>Proxy Access</w:t>
    </w:r>
    <w:r w:rsidR="00513456">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F702" w14:textId="77777777" w:rsidR="002A624B" w:rsidRDefault="002A624B">
      <w:r>
        <w:separator/>
      </w:r>
    </w:p>
  </w:footnote>
  <w:footnote w:type="continuationSeparator" w:id="0">
    <w:p w14:paraId="664840F5" w14:textId="77777777" w:rsidR="002A624B" w:rsidRDefault="002A6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CBD"/>
    <w:multiLevelType w:val="hybridMultilevel"/>
    <w:tmpl w:val="4ABEB90E"/>
    <w:lvl w:ilvl="0" w:tplc="FFFFFFFF">
      <w:start w:val="1"/>
      <w:numFmt w:val="decimal"/>
      <w:lvlText w:val="%1."/>
      <w:lvlJc w:val="left"/>
      <w:pPr>
        <w:ind w:left="426" w:hanging="360"/>
      </w:p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1" w15:restartNumberingAfterBreak="0">
    <w:nsid w:val="0C1539A9"/>
    <w:multiLevelType w:val="hybridMultilevel"/>
    <w:tmpl w:val="CBD89D4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131422D"/>
    <w:multiLevelType w:val="hybridMultilevel"/>
    <w:tmpl w:val="48A2F53C"/>
    <w:lvl w:ilvl="0" w:tplc="08090001">
      <w:start w:val="1"/>
      <w:numFmt w:val="bullet"/>
      <w:lvlText w:val=""/>
      <w:lvlJc w:val="left"/>
      <w:pPr>
        <w:ind w:left="62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DA7065"/>
    <w:multiLevelType w:val="hybridMultilevel"/>
    <w:tmpl w:val="C8A4E6C8"/>
    <w:numStyleLink w:val="ImportedStyle4"/>
  </w:abstractNum>
  <w:abstractNum w:abstractNumId="4" w15:restartNumberingAfterBreak="0">
    <w:nsid w:val="2F5A4C0A"/>
    <w:multiLevelType w:val="hybridMultilevel"/>
    <w:tmpl w:val="C8A4E6C8"/>
    <w:styleLink w:val="ImportedStyle4"/>
    <w:lvl w:ilvl="0" w:tplc="03BEE8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C87F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EC9C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DB4A9A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16B3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C225E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23450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04FF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98447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5D0C8E"/>
    <w:multiLevelType w:val="hybridMultilevel"/>
    <w:tmpl w:val="9384B324"/>
    <w:styleLink w:val="ImportedStyle2"/>
    <w:lvl w:ilvl="0" w:tplc="EADEDEE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4C0C6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D61C6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5F6D1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4F065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285E2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96C2E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1ABA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0C757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CE72409"/>
    <w:multiLevelType w:val="hybridMultilevel"/>
    <w:tmpl w:val="4D2E59A4"/>
    <w:styleLink w:val="ImportedStyle1"/>
    <w:lvl w:ilvl="0" w:tplc="3F9CD3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6EFB2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7649A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604B2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4EE5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8C759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0563B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B288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66E3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E9D48A6"/>
    <w:multiLevelType w:val="hybridMultilevel"/>
    <w:tmpl w:val="77FA3CE4"/>
    <w:lvl w:ilvl="0" w:tplc="A1AE0D92">
      <w:start w:val="1"/>
      <w:numFmt w:val="bullet"/>
      <w:lvlText w:val="–"/>
      <w:lvlJc w:val="left"/>
      <w:pPr>
        <w:ind w:left="510" w:hanging="249"/>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83EF3"/>
    <w:multiLevelType w:val="hybridMultilevel"/>
    <w:tmpl w:val="4C84D4F2"/>
    <w:styleLink w:val="ImportedStyle3"/>
    <w:lvl w:ilvl="0" w:tplc="E982E7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D699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F05C7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382EC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0450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1E7B2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33C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2A04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9C7FC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5A44D9A"/>
    <w:multiLevelType w:val="hybridMultilevel"/>
    <w:tmpl w:val="9384B324"/>
    <w:numStyleLink w:val="ImportedStyle2"/>
  </w:abstractNum>
  <w:abstractNum w:abstractNumId="10" w15:restartNumberingAfterBreak="0">
    <w:nsid w:val="614D1E13"/>
    <w:multiLevelType w:val="hybridMultilevel"/>
    <w:tmpl w:val="4D2E59A4"/>
    <w:numStyleLink w:val="ImportedStyle1"/>
  </w:abstractNum>
  <w:abstractNum w:abstractNumId="11" w15:restartNumberingAfterBreak="0">
    <w:nsid w:val="6A882BA0"/>
    <w:multiLevelType w:val="hybridMultilevel"/>
    <w:tmpl w:val="4C84D4F2"/>
    <w:numStyleLink w:val="ImportedStyle3"/>
  </w:abstractNum>
  <w:num w:numId="1" w16cid:durableId="459419697">
    <w:abstractNumId w:val="6"/>
  </w:num>
  <w:num w:numId="2" w16cid:durableId="867136039">
    <w:abstractNumId w:val="10"/>
  </w:num>
  <w:num w:numId="3" w16cid:durableId="1299529700">
    <w:abstractNumId w:val="5"/>
  </w:num>
  <w:num w:numId="4" w16cid:durableId="1586912831">
    <w:abstractNumId w:val="9"/>
  </w:num>
  <w:num w:numId="5" w16cid:durableId="746880480">
    <w:abstractNumId w:val="4"/>
  </w:num>
  <w:num w:numId="6" w16cid:durableId="931471199">
    <w:abstractNumId w:val="3"/>
  </w:num>
  <w:num w:numId="7" w16cid:durableId="1763186766">
    <w:abstractNumId w:val="8"/>
  </w:num>
  <w:num w:numId="8" w16cid:durableId="1468743024">
    <w:abstractNumId w:val="11"/>
  </w:num>
  <w:num w:numId="9" w16cid:durableId="1623682787">
    <w:abstractNumId w:val="11"/>
    <w:lvlOverride w:ilvl="0">
      <w:lvl w:ilvl="0" w:tplc="7E20EE86">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B8E7EC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314313E">
        <w:start w:val="1"/>
        <w:numFmt w:val="lowerRoman"/>
        <w:lvlText w:val="%3."/>
        <w:lvlJc w:val="left"/>
        <w:pPr>
          <w:ind w:left="213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9E2CB0">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4502B2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AA08A66">
        <w:start w:val="1"/>
        <w:numFmt w:val="lowerRoman"/>
        <w:lvlText w:val="%6."/>
        <w:lvlJc w:val="left"/>
        <w:pPr>
          <w:ind w:left="429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FF62F3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F9E07B8">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886EB0">
        <w:start w:val="1"/>
        <w:numFmt w:val="lowerRoman"/>
        <w:lvlText w:val="%9."/>
        <w:lvlJc w:val="left"/>
        <w:pPr>
          <w:ind w:left="6455"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34685961">
    <w:abstractNumId w:val="1"/>
  </w:num>
  <w:num w:numId="11" w16cid:durableId="710883105">
    <w:abstractNumId w:val="7"/>
  </w:num>
  <w:num w:numId="12" w16cid:durableId="397550">
    <w:abstractNumId w:val="2"/>
  </w:num>
  <w:num w:numId="13" w16cid:durableId="7413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C83FBA"/>
    <w:rsid w:val="000258C0"/>
    <w:rsid w:val="00035F0F"/>
    <w:rsid w:val="00040B08"/>
    <w:rsid w:val="00087FD8"/>
    <w:rsid w:val="000E2892"/>
    <w:rsid w:val="000E4C7E"/>
    <w:rsid w:val="00101277"/>
    <w:rsid w:val="00105D3C"/>
    <w:rsid w:val="00114D92"/>
    <w:rsid w:val="00146942"/>
    <w:rsid w:val="001505BF"/>
    <w:rsid w:val="00181150"/>
    <w:rsid w:val="00186FD9"/>
    <w:rsid w:val="001A79D5"/>
    <w:rsid w:val="001D0D50"/>
    <w:rsid w:val="00225E64"/>
    <w:rsid w:val="00240A9D"/>
    <w:rsid w:val="00263089"/>
    <w:rsid w:val="00270E16"/>
    <w:rsid w:val="00295F41"/>
    <w:rsid w:val="002A624B"/>
    <w:rsid w:val="002B7E89"/>
    <w:rsid w:val="002C118C"/>
    <w:rsid w:val="002F0CC2"/>
    <w:rsid w:val="0030521F"/>
    <w:rsid w:val="00320F1E"/>
    <w:rsid w:val="003253E1"/>
    <w:rsid w:val="00343AC5"/>
    <w:rsid w:val="00363A74"/>
    <w:rsid w:val="00370D04"/>
    <w:rsid w:val="003C1A1D"/>
    <w:rsid w:val="00404C82"/>
    <w:rsid w:val="004532A3"/>
    <w:rsid w:val="004616AE"/>
    <w:rsid w:val="0047170B"/>
    <w:rsid w:val="0048740C"/>
    <w:rsid w:val="004B4161"/>
    <w:rsid w:val="00513456"/>
    <w:rsid w:val="00532852"/>
    <w:rsid w:val="00553100"/>
    <w:rsid w:val="005648F5"/>
    <w:rsid w:val="005B3348"/>
    <w:rsid w:val="0060609E"/>
    <w:rsid w:val="00606249"/>
    <w:rsid w:val="00617E81"/>
    <w:rsid w:val="0069027B"/>
    <w:rsid w:val="006B4832"/>
    <w:rsid w:val="007B09F0"/>
    <w:rsid w:val="007B7C2A"/>
    <w:rsid w:val="007D24EE"/>
    <w:rsid w:val="0081479B"/>
    <w:rsid w:val="008217C1"/>
    <w:rsid w:val="0082305C"/>
    <w:rsid w:val="00823DA8"/>
    <w:rsid w:val="00831265"/>
    <w:rsid w:val="00860874"/>
    <w:rsid w:val="008B44CC"/>
    <w:rsid w:val="009215E8"/>
    <w:rsid w:val="00975738"/>
    <w:rsid w:val="009811CC"/>
    <w:rsid w:val="009826C9"/>
    <w:rsid w:val="00987EEE"/>
    <w:rsid w:val="00997160"/>
    <w:rsid w:val="009A3C10"/>
    <w:rsid w:val="00A79BDD"/>
    <w:rsid w:val="00A8617C"/>
    <w:rsid w:val="00AA1903"/>
    <w:rsid w:val="00AE1437"/>
    <w:rsid w:val="00AF6637"/>
    <w:rsid w:val="00B10480"/>
    <w:rsid w:val="00B26449"/>
    <w:rsid w:val="00B40A46"/>
    <w:rsid w:val="00B53A16"/>
    <w:rsid w:val="00BA608D"/>
    <w:rsid w:val="00BA69F3"/>
    <w:rsid w:val="00BD3568"/>
    <w:rsid w:val="00C35338"/>
    <w:rsid w:val="00C71478"/>
    <w:rsid w:val="00C82256"/>
    <w:rsid w:val="00CC4D08"/>
    <w:rsid w:val="00D54D6F"/>
    <w:rsid w:val="00D74269"/>
    <w:rsid w:val="00DB0567"/>
    <w:rsid w:val="00DC67A3"/>
    <w:rsid w:val="00E140DA"/>
    <w:rsid w:val="00E17E0C"/>
    <w:rsid w:val="00E23777"/>
    <w:rsid w:val="00E704BD"/>
    <w:rsid w:val="00E74FAA"/>
    <w:rsid w:val="00E83C37"/>
    <w:rsid w:val="00EA109B"/>
    <w:rsid w:val="00EA5AD9"/>
    <w:rsid w:val="00EB68EB"/>
    <w:rsid w:val="00EC4E86"/>
    <w:rsid w:val="00F31AF4"/>
    <w:rsid w:val="00F33E5F"/>
    <w:rsid w:val="00F435BF"/>
    <w:rsid w:val="00F55112"/>
    <w:rsid w:val="00F56860"/>
    <w:rsid w:val="00F7553B"/>
    <w:rsid w:val="00F81CEA"/>
    <w:rsid w:val="00F84D1F"/>
    <w:rsid w:val="00F857F2"/>
    <w:rsid w:val="00F91261"/>
    <w:rsid w:val="00FA6970"/>
    <w:rsid w:val="00FA7D45"/>
    <w:rsid w:val="00FB4800"/>
    <w:rsid w:val="01AAE50A"/>
    <w:rsid w:val="023AB95D"/>
    <w:rsid w:val="025E0AF0"/>
    <w:rsid w:val="04491CAB"/>
    <w:rsid w:val="04DB4DA2"/>
    <w:rsid w:val="0520E026"/>
    <w:rsid w:val="05725A1F"/>
    <w:rsid w:val="05E82205"/>
    <w:rsid w:val="06BCB087"/>
    <w:rsid w:val="08ADFB0D"/>
    <w:rsid w:val="08FA4632"/>
    <w:rsid w:val="09A11B6A"/>
    <w:rsid w:val="0A45F40D"/>
    <w:rsid w:val="0A961693"/>
    <w:rsid w:val="0DE93CC4"/>
    <w:rsid w:val="0EC5D03A"/>
    <w:rsid w:val="0F83444B"/>
    <w:rsid w:val="10BCCC61"/>
    <w:rsid w:val="1163B3D8"/>
    <w:rsid w:val="12573323"/>
    <w:rsid w:val="12ECA7EC"/>
    <w:rsid w:val="13069598"/>
    <w:rsid w:val="1401D7FF"/>
    <w:rsid w:val="155BF265"/>
    <w:rsid w:val="17753388"/>
    <w:rsid w:val="17F13386"/>
    <w:rsid w:val="1913EB7C"/>
    <w:rsid w:val="1C238B4A"/>
    <w:rsid w:val="1C316FD2"/>
    <w:rsid w:val="1CFC3BA7"/>
    <w:rsid w:val="1D4B69A1"/>
    <w:rsid w:val="1E041FC9"/>
    <w:rsid w:val="1F858EFD"/>
    <w:rsid w:val="1FDE7DEA"/>
    <w:rsid w:val="20BAD19E"/>
    <w:rsid w:val="21B24E78"/>
    <w:rsid w:val="21E44E53"/>
    <w:rsid w:val="220FD30C"/>
    <w:rsid w:val="2472AD4B"/>
    <w:rsid w:val="2576068C"/>
    <w:rsid w:val="2606767A"/>
    <w:rsid w:val="26E3442F"/>
    <w:rsid w:val="27933F23"/>
    <w:rsid w:val="27CBF5AE"/>
    <w:rsid w:val="2943B4A7"/>
    <w:rsid w:val="2C4CF3B1"/>
    <w:rsid w:val="2CC83FBA"/>
    <w:rsid w:val="2CC8F9C7"/>
    <w:rsid w:val="2E4C73E1"/>
    <w:rsid w:val="2E8BAD35"/>
    <w:rsid w:val="31F108D6"/>
    <w:rsid w:val="3373503B"/>
    <w:rsid w:val="33B2C7BC"/>
    <w:rsid w:val="34F9B3D8"/>
    <w:rsid w:val="35160D00"/>
    <w:rsid w:val="354BC889"/>
    <w:rsid w:val="36698319"/>
    <w:rsid w:val="36958439"/>
    <w:rsid w:val="379ABAE0"/>
    <w:rsid w:val="3A83E17D"/>
    <w:rsid w:val="3AA3A4F1"/>
    <w:rsid w:val="3AB0AC2E"/>
    <w:rsid w:val="3BF454D0"/>
    <w:rsid w:val="3C881D22"/>
    <w:rsid w:val="3C88EF7B"/>
    <w:rsid w:val="3D902531"/>
    <w:rsid w:val="3DFAA70A"/>
    <w:rsid w:val="428D294A"/>
    <w:rsid w:val="44485190"/>
    <w:rsid w:val="4562808B"/>
    <w:rsid w:val="482ACA6A"/>
    <w:rsid w:val="4ABFACBB"/>
    <w:rsid w:val="4B44E465"/>
    <w:rsid w:val="4BB8057A"/>
    <w:rsid w:val="4CABC86D"/>
    <w:rsid w:val="4CFE3B8D"/>
    <w:rsid w:val="4E1C2BA3"/>
    <w:rsid w:val="4EFABAC4"/>
    <w:rsid w:val="4F570F1A"/>
    <w:rsid w:val="5035DC4F"/>
    <w:rsid w:val="5106B575"/>
    <w:rsid w:val="515ED112"/>
    <w:rsid w:val="525C26B6"/>
    <w:rsid w:val="52C09CF1"/>
    <w:rsid w:val="551B8223"/>
    <w:rsid w:val="57C779EF"/>
    <w:rsid w:val="57EE7B14"/>
    <w:rsid w:val="58CCD7C0"/>
    <w:rsid w:val="5AF4C836"/>
    <w:rsid w:val="5C8706ED"/>
    <w:rsid w:val="5CC2806F"/>
    <w:rsid w:val="60ADBDE2"/>
    <w:rsid w:val="6315FC50"/>
    <w:rsid w:val="63AB005C"/>
    <w:rsid w:val="64434C5B"/>
    <w:rsid w:val="6477FABE"/>
    <w:rsid w:val="658479C1"/>
    <w:rsid w:val="66B90E97"/>
    <w:rsid w:val="6723DDF9"/>
    <w:rsid w:val="69C6B872"/>
    <w:rsid w:val="6B4BE49B"/>
    <w:rsid w:val="6CB2F8F4"/>
    <w:rsid w:val="6D73188D"/>
    <w:rsid w:val="6F5C13B0"/>
    <w:rsid w:val="70631DBD"/>
    <w:rsid w:val="72164C63"/>
    <w:rsid w:val="7421EC1B"/>
    <w:rsid w:val="7533D20E"/>
    <w:rsid w:val="7E36C706"/>
    <w:rsid w:val="7F712FC2"/>
    <w:rsid w:val="7FFB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59FDE"/>
  <w15:docId w15:val="{62D22DD2-B28B-4969-80C9-D27F387F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65"/>
    <w:rPr>
      <w:sz w:val="24"/>
      <w:szCs w:val="24"/>
      <w:lang w:val="en-US" w:eastAsia="en-US"/>
    </w:rPr>
  </w:style>
  <w:style w:type="paragraph" w:styleId="Heading2">
    <w:name w:val="heading 2"/>
    <w:uiPriority w:val="9"/>
    <w:unhideWhenUsed/>
    <w:qFormat/>
    <w:pPr>
      <w:widowControl w:val="0"/>
      <w:spacing w:before="92"/>
      <w:ind w:left="140"/>
      <w:outlineLvl w:val="1"/>
    </w:pPr>
    <w:rPr>
      <w:rFonts w:ascii="Arial" w:hAnsi="Arial" w:cs="Arial Unicode MS"/>
      <w:b/>
      <w:bC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pPr>
      <w:widowControl w:val="0"/>
      <w:ind w:left="860" w:hanging="360"/>
    </w:pPr>
    <w:rPr>
      <w:rFonts w:ascii="Arial" w:eastAsia="Arial" w:hAnsi="Arial" w:cs="Arial"/>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4">
    <w:name w:val="Imported Style 4"/>
    <w:pPr>
      <w:numPr>
        <w:numId w:val="5"/>
      </w:numPr>
    </w:pPr>
  </w:style>
  <w:style w:type="paragraph" w:styleId="BodyText">
    <w:name w:val="Body Text"/>
    <w:pPr>
      <w:widowControl w:val="0"/>
    </w:pPr>
    <w:rPr>
      <w:rFonts w:ascii="Arial" w:eastAsia="Arial" w:hAnsi="Arial" w:cs="Arial"/>
      <w:color w:val="000000"/>
      <w:sz w:val="22"/>
      <w:szCs w:val="22"/>
      <w:u w:color="000000"/>
      <w:lang w:val="en-US"/>
      <w14:textOutline w14:w="0" w14:cap="flat" w14:cmpd="sng" w14:algn="ctr">
        <w14:noFill/>
        <w14:prstDash w14:val="solid"/>
        <w14:bevel/>
      </w14:textOutline>
    </w:rPr>
  </w:style>
  <w:style w:type="numbering" w:customStyle="1" w:styleId="ImportedStyle3">
    <w:name w:val="Imported Style 3"/>
    <w:pPr>
      <w:numPr>
        <w:numId w:val="7"/>
      </w:numPr>
    </w:pPr>
  </w:style>
  <w:style w:type="character" w:styleId="UnresolvedMention">
    <w:name w:val="Unresolved Mention"/>
    <w:basedOn w:val="DefaultParagraphFont"/>
    <w:uiPriority w:val="99"/>
    <w:semiHidden/>
    <w:unhideWhenUsed/>
    <w:rsid w:val="00997160"/>
    <w:rPr>
      <w:color w:val="605E5C"/>
      <w:shd w:val="clear" w:color="auto" w:fill="E1DFDD"/>
    </w:rPr>
  </w:style>
  <w:style w:type="character" w:styleId="FollowedHyperlink">
    <w:name w:val="FollowedHyperlink"/>
    <w:basedOn w:val="DefaultParagraphFont"/>
    <w:uiPriority w:val="99"/>
    <w:semiHidden/>
    <w:unhideWhenUsed/>
    <w:rsid w:val="008B44CC"/>
    <w:rPr>
      <w:color w:val="FF00FF" w:themeColor="followedHyperlink"/>
      <w:u w:val="single"/>
    </w:rPr>
  </w:style>
  <w:style w:type="character" w:styleId="CommentReference">
    <w:name w:val="annotation reference"/>
    <w:basedOn w:val="DefaultParagraphFont"/>
    <w:uiPriority w:val="99"/>
    <w:semiHidden/>
    <w:unhideWhenUsed/>
    <w:rsid w:val="00370D04"/>
    <w:rPr>
      <w:sz w:val="16"/>
      <w:szCs w:val="16"/>
    </w:rPr>
  </w:style>
  <w:style w:type="paragraph" w:styleId="CommentText">
    <w:name w:val="annotation text"/>
    <w:basedOn w:val="Normal"/>
    <w:link w:val="CommentTextChar"/>
    <w:uiPriority w:val="99"/>
    <w:unhideWhenUsed/>
    <w:rsid w:val="00370D04"/>
    <w:rPr>
      <w:sz w:val="20"/>
      <w:szCs w:val="20"/>
    </w:rPr>
  </w:style>
  <w:style w:type="character" w:customStyle="1" w:styleId="CommentTextChar">
    <w:name w:val="Comment Text Char"/>
    <w:basedOn w:val="DefaultParagraphFont"/>
    <w:link w:val="CommentText"/>
    <w:uiPriority w:val="99"/>
    <w:rsid w:val="00370D04"/>
    <w:rPr>
      <w:lang w:val="en-US" w:eastAsia="en-US"/>
    </w:rPr>
  </w:style>
  <w:style w:type="paragraph" w:styleId="CommentSubject">
    <w:name w:val="annotation subject"/>
    <w:basedOn w:val="CommentText"/>
    <w:next w:val="CommentText"/>
    <w:link w:val="CommentSubjectChar"/>
    <w:uiPriority w:val="99"/>
    <w:semiHidden/>
    <w:unhideWhenUsed/>
    <w:rsid w:val="00370D04"/>
    <w:rPr>
      <w:b/>
      <w:bCs/>
    </w:rPr>
  </w:style>
  <w:style w:type="character" w:customStyle="1" w:styleId="CommentSubjectChar">
    <w:name w:val="Comment Subject Char"/>
    <w:basedOn w:val="CommentTextChar"/>
    <w:link w:val="CommentSubject"/>
    <w:uiPriority w:val="99"/>
    <w:semiHidden/>
    <w:rsid w:val="00370D04"/>
    <w:rPr>
      <w:b/>
      <w:bCs/>
      <w:lang w:val="en-US" w:eastAsia="en-US"/>
    </w:rPr>
  </w:style>
  <w:style w:type="paragraph" w:styleId="Header">
    <w:name w:val="header"/>
    <w:basedOn w:val="Normal"/>
    <w:link w:val="HeaderChar"/>
    <w:uiPriority w:val="99"/>
    <w:unhideWhenUsed/>
    <w:rsid w:val="00513456"/>
    <w:pPr>
      <w:tabs>
        <w:tab w:val="center" w:pos="4513"/>
        <w:tab w:val="right" w:pos="9026"/>
      </w:tabs>
    </w:pPr>
  </w:style>
  <w:style w:type="character" w:customStyle="1" w:styleId="HeaderChar">
    <w:name w:val="Header Char"/>
    <w:basedOn w:val="DefaultParagraphFont"/>
    <w:link w:val="Header"/>
    <w:uiPriority w:val="99"/>
    <w:rsid w:val="00513456"/>
    <w:rPr>
      <w:sz w:val="24"/>
      <w:szCs w:val="24"/>
      <w:lang w:val="en-US" w:eastAsia="en-US"/>
    </w:rPr>
  </w:style>
  <w:style w:type="paragraph" w:styleId="Footer">
    <w:name w:val="footer"/>
    <w:basedOn w:val="Normal"/>
    <w:link w:val="FooterChar"/>
    <w:uiPriority w:val="99"/>
    <w:unhideWhenUsed/>
    <w:rsid w:val="00513456"/>
    <w:pPr>
      <w:tabs>
        <w:tab w:val="center" w:pos="4513"/>
        <w:tab w:val="right" w:pos="9026"/>
      </w:tabs>
    </w:pPr>
  </w:style>
  <w:style w:type="character" w:customStyle="1" w:styleId="FooterChar">
    <w:name w:val="Footer Char"/>
    <w:basedOn w:val="DefaultParagraphFont"/>
    <w:link w:val="Footer"/>
    <w:uiPriority w:val="99"/>
    <w:rsid w:val="00513456"/>
    <w:rPr>
      <w:sz w:val="24"/>
      <w:szCs w:val="24"/>
      <w:lang w:val="en-US" w:eastAsia="en-US"/>
    </w:rPr>
  </w:style>
  <w:style w:type="paragraph" w:styleId="Revision">
    <w:name w:val="Revision"/>
    <w:hidden/>
    <w:uiPriority w:val="99"/>
    <w:semiHidden/>
    <w:rsid w:val="009A3C1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83520">
      <w:bodyDiv w:val="1"/>
      <w:marLeft w:val="0"/>
      <w:marRight w:val="0"/>
      <w:marTop w:val="0"/>
      <w:marBottom w:val="0"/>
      <w:divBdr>
        <w:top w:val="none" w:sz="0" w:space="0" w:color="auto"/>
        <w:left w:val="none" w:sz="0" w:space="0" w:color="auto"/>
        <w:bottom w:val="none" w:sz="0" w:space="0" w:color="auto"/>
        <w:right w:val="none" w:sz="0" w:space="0" w:color="auto"/>
      </w:divBdr>
    </w:div>
    <w:div w:id="1790271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earning.rcgp.org.uk/pluginfile.php/179161/mod_book/chapter/762/Coercion.docx" TargetMode="External"/><Relationship Id="rId18" Type="http://schemas.openxmlformats.org/officeDocument/2006/relationships/hyperlink" Target="https://elearning.rcgp.org.uk/pluginfile.php/179161/mod_book/chapter/762/Safeguarding%20and%20automatic%20record%20acces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learning.rcgp.org.uk/pluginfile.php/179161/mod_book/chapter/770/Children%20and%20young%20people.docx" TargetMode="External"/><Relationship Id="rId7" Type="http://schemas.openxmlformats.org/officeDocument/2006/relationships/settings" Target="settings.xml"/><Relationship Id="rId12" Type="http://schemas.openxmlformats.org/officeDocument/2006/relationships/hyperlink" Target="https://digital.nhs.uk/services/nhs-app/nhs-app-guidance-for-gp-practices/linked-profiles-and-proxy-access" TargetMode="External"/><Relationship Id="rId17" Type="http://schemas.openxmlformats.org/officeDocument/2006/relationships/hyperlink" Target="https://elearning.rcgp.org.uk/pluginfile.php/179161/mod_book/chapter/762/Coercion.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learning.rcgp.org.uk/pluginfile.php/179161/mod_book/chapter/770/RCGP%20Proxy%20consent%20form.docx" TargetMode="External"/><Relationship Id="rId20" Type="http://schemas.openxmlformats.org/officeDocument/2006/relationships/hyperlink" Target="https://elearning.rcgp.org.uk/pluginfile.php/179161/mod_book/chapter/770/Children%20and%20young%20peop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learning.rcgp.org.uk/pluginfile.php/179161/mod_book/chapter/762/Identity%20verification.docx" TargetMode="External"/><Relationship Id="rId23" Type="http://schemas.openxmlformats.org/officeDocument/2006/relationships/hyperlink" Target="https://elearning.rcgp.org.uk/mod/book/view.php?id=13455&amp;chapterid=776" TargetMode="External"/><Relationship Id="rId10" Type="http://schemas.openxmlformats.org/officeDocument/2006/relationships/endnotes" Target="endnotes.xml"/><Relationship Id="rId19" Type="http://schemas.openxmlformats.org/officeDocument/2006/relationships/hyperlink" Target="https://elearning.rcgp.org.uk/pluginfile.php/179161/mod_book/chapter/762/Identity%20verificatio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earning.rcgp.org.uk/pluginfile.php/179161/mod_book/chapter/762/Safeguarding%20and%20automatic%20record%20access.docx" TargetMode="External"/><Relationship Id="rId22" Type="http://schemas.openxmlformats.org/officeDocument/2006/relationships/hyperlink" Target="https://elearning.rcgp.org.uk/pluginfile.php/179161/mod_book/chapter/776/GP%20online%20services%20-%20Information%20for%20the%20carer%20of%20a%20person%20with%20dementia.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CB6D1DB6E774EBC55C4E1F1185C78" ma:contentTypeVersion="12" ma:contentTypeDescription="Create a new document." ma:contentTypeScope="" ma:versionID="c1ead3348f650a27f6a0ae976f5937d5">
  <xsd:schema xmlns:xsd="http://www.w3.org/2001/XMLSchema" xmlns:xs="http://www.w3.org/2001/XMLSchema" xmlns:p="http://schemas.microsoft.com/office/2006/metadata/properties" xmlns:ns2="0917c01a-c122-41b6-b2fb-c1cc685e6516" xmlns:ns3="a1b32a29-4e1a-40a1-8a50-56edbd982916" targetNamespace="http://schemas.microsoft.com/office/2006/metadata/properties" ma:root="true" ma:fieldsID="bf546f54be1b4b06140f5dd81d922e61" ns2:_="" ns3:_="">
    <xsd:import namespace="0917c01a-c122-41b6-b2fb-c1cc685e6516"/>
    <xsd:import namespace="a1b32a29-4e1a-40a1-8a50-56edbd9829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c01a-c122-41b6-b2fb-c1cc685e6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32a29-4e1a-40a1-8a50-56edbd982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7619d7-3055-442d-9055-e27b562a731b}" ma:internalName="TaxCatchAll" ma:showField="CatchAllData" ma:web="a1b32a29-4e1a-40a1-8a50-56edbd982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b32a29-4e1a-40a1-8a50-56edbd982916" xsi:nil="true"/>
    <lcf76f155ced4ddcb4097134ff3c332f xmlns="0917c01a-c122-41b6-b2fb-c1cc685e6516">
      <Terms xmlns="http://schemas.microsoft.com/office/infopath/2007/PartnerControls"/>
    </lcf76f155ced4ddcb4097134ff3c332f>
    <SharedWithUsers xmlns="a1b32a29-4e1a-40a1-8a50-56edbd98291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A8948-7B25-42F5-B5CC-30CAE77D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c01a-c122-41b6-b2fb-c1cc685e6516"/>
    <ds:schemaRef ds:uri="a1b32a29-4e1a-40a1-8a50-56edbd982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5CA56-F169-4F0E-88F8-D975A6D3C7E9}">
  <ds:schemaRefs>
    <ds:schemaRef ds:uri="http://schemas.microsoft.com/office/2006/metadata/properties"/>
    <ds:schemaRef ds:uri="http://schemas.microsoft.com/office/infopath/2007/PartnerControls"/>
    <ds:schemaRef ds:uri="a1b32a29-4e1a-40a1-8a50-56edbd982916"/>
    <ds:schemaRef ds:uri="0917c01a-c122-41b6-b2fb-c1cc685e6516"/>
  </ds:schemaRefs>
</ds:datastoreItem>
</file>

<file path=customXml/itemProps3.xml><?xml version="1.0" encoding="utf-8"?>
<ds:datastoreItem xmlns:ds="http://schemas.openxmlformats.org/officeDocument/2006/customXml" ds:itemID="{336D2B91-0997-426C-86E3-E6BD0B94B163}">
  <ds:schemaRefs>
    <ds:schemaRef ds:uri="http://schemas.openxmlformats.org/officeDocument/2006/bibliography"/>
  </ds:schemaRefs>
</ds:datastoreItem>
</file>

<file path=customXml/itemProps4.xml><?xml version="1.0" encoding="utf-8"?>
<ds:datastoreItem xmlns:ds="http://schemas.openxmlformats.org/officeDocument/2006/customXml" ds:itemID="{C62FDD22-ADC6-4BCD-A34D-417E63EC3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Chukwu</dc:creator>
  <cp:lastModifiedBy>Gemma Marsden</cp:lastModifiedBy>
  <cp:revision>15</cp:revision>
  <dcterms:created xsi:type="dcterms:W3CDTF">2022-09-12T10:20:00Z</dcterms:created>
  <dcterms:modified xsi:type="dcterms:W3CDTF">2022-11-17T15:21:00Z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0x01010075CCB6D1DB6E774EBC55C4E1F1185C78</vt:lpwstr>
  </property>
  <property fmtid="{D5CDD505-2E9C-101B-9397-08002B2CF9AE}" pid="3" name="MediaServiceImageTags">
    <vt:lpwstr/>
  </property>
  <property fmtid="{D5CDD505-2E9C-101B-9397-08002B2CF9AE}" pid="4" name="Order">
    <vt:r8>22100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